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952D7C" w14:paraId="7A1B5AC9" w14:textId="6B9F4205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L6 </w:t>
            </w:r>
            <w:r w:rsidR="00CF662A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:rsidRPr="004D6E14" w:rsidR="007066D6" w:rsidP="007066D6" w:rsidRDefault="00E0519D" w14:paraId="512FDC1E" w14:textId="193FCEB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Analyse</w:t>
            </w:r>
            <w:r w:rsidR="00615965">
              <w:rPr>
                <w:rFonts w:ascii="Arial" w:hAnsi="Arial" w:cs="Arial"/>
                <w:b/>
                <w:bCs/>
                <w:color w:val="auto"/>
              </w:rPr>
              <w:t xml:space="preserve"> and</w:t>
            </w:r>
            <w:r w:rsidR="0081257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663337">
              <w:rPr>
                <w:rFonts w:ascii="Arial" w:hAnsi="Arial" w:cs="Arial"/>
                <w:b/>
                <w:bCs/>
                <w:color w:val="auto"/>
              </w:rPr>
              <w:t>valuate</w:t>
            </w:r>
            <w:r w:rsidR="00C32603">
              <w:rPr>
                <w:rFonts w:ascii="Arial" w:hAnsi="Arial" w:cs="Arial"/>
                <w:b/>
                <w:bCs/>
                <w:color w:val="auto"/>
              </w:rPr>
              <w:t xml:space="preserve"> the impact of</w:t>
            </w:r>
            <w:r w:rsidR="00812573">
              <w:rPr>
                <w:rFonts w:ascii="Arial" w:hAnsi="Arial" w:cs="Arial"/>
                <w:b/>
                <w:bCs/>
                <w:color w:val="auto"/>
              </w:rPr>
              <w:t xml:space="preserve"> current influences </w:t>
            </w:r>
            <w:r w:rsidRPr="00663337" w:rsidR="00663337">
              <w:rPr>
                <w:rFonts w:ascii="Arial" w:hAnsi="Arial" w:cs="Arial"/>
                <w:b/>
                <w:bCs/>
                <w:color w:val="auto"/>
              </w:rPr>
              <w:t>on operations to support an organisation’s performance</w:t>
            </w:r>
            <w:r w:rsidR="00663337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3A7B05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7DEEF33C" w14:textId="52495A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Pr="004D6E14" w:rsidR="003B7D18" w:rsidTr="003A7B05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31E176E5" w14:textId="1D9179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</w:tr>
      <w:tr w:rsidRPr="004D6E14" w:rsidR="003B7D18" w:rsidTr="003A7B05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D20DB" w:rsidP="006D20DB" w:rsidRDefault="003C3919" w14:paraId="4D5FEBB5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7E1F54">
              <w:rPr>
                <w:rFonts w:ascii="Arial" w:hAnsi="Arial" w:cs="Arial"/>
                <w:sz w:val="22"/>
                <w:szCs w:val="22"/>
              </w:rPr>
              <w:t>eople</w:t>
            </w:r>
            <w:r w:rsidR="00C279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20DB">
              <w:rPr>
                <w:rFonts w:ascii="Arial" w:hAnsi="Arial" w:cs="Arial"/>
                <w:sz w:val="22"/>
                <w:szCs w:val="22"/>
              </w:rPr>
              <w:t xml:space="preserve">who work or intend to work in strategic leadership positions. </w:t>
            </w:r>
          </w:p>
          <w:p w:rsidR="00663337" w:rsidP="00663337" w:rsidRDefault="006D20DB" w14:paraId="53000D05" w14:textId="188EC52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C2798D">
              <w:rPr>
                <w:rFonts w:ascii="Arial" w:hAnsi="Arial" w:cs="Arial"/>
                <w:sz w:val="22"/>
                <w:szCs w:val="22"/>
              </w:rPr>
              <w:t>skill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provide learners with the knowledge and skills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7E1F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965">
              <w:rPr>
                <w:rFonts w:ascii="Arial" w:hAnsi="Arial" w:cs="Arial"/>
                <w:sz w:val="22"/>
                <w:szCs w:val="22"/>
              </w:rPr>
              <w:t>analyse</w:t>
            </w:r>
            <w:proofErr w:type="gramEnd"/>
            <w:r w:rsidR="0061596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63337">
              <w:rPr>
                <w:rFonts w:ascii="Arial" w:hAnsi="Arial" w:cs="Arial"/>
                <w:sz w:val="22"/>
                <w:szCs w:val="22"/>
              </w:rPr>
              <w:t xml:space="preserve">evaluate the impact of current influences on operations to support an organisation’s performance. </w:t>
            </w:r>
          </w:p>
          <w:p w:rsidRPr="00676A27" w:rsidR="00B077ED" w:rsidP="00663337" w:rsidRDefault="007E1F54" w14:paraId="326E3A3F" w14:textId="6E9C76E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AD6035">
              <w:rPr>
                <w:rFonts w:ascii="Arial" w:hAnsi="Arial" w:cs="Arial"/>
                <w:sz w:val="22"/>
                <w:szCs w:val="22"/>
              </w:rPr>
              <w:t xml:space="preserve">evaluating the impact of current influences on operations to support an organisation’s performance.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095577" w:rsidTr="003F0980" w14:paraId="75A64B43" w14:textId="77777777">
        <w:trPr>
          <w:cantSplit/>
          <w:trHeight w:val="613"/>
          <w:tblHeader/>
        </w:trPr>
        <w:tc>
          <w:tcPr>
            <w:tcW w:w="4627" w:type="dxa"/>
            <w:vMerge w:val="restart"/>
          </w:tcPr>
          <w:p w:rsidR="00095577" w:rsidP="00DC70E1" w:rsidRDefault="003D500A" w14:paraId="22083B67" w14:textId="2A68EC6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commentRangeStart w:id="0"/>
            <w:commentRangeStart w:id="1"/>
            <w:r w:rsidRPr="00643299">
              <w:rPr>
                <w:rFonts w:ascii="Arial" w:hAnsi="Arial" w:cs="Arial"/>
                <w:sz w:val="22"/>
                <w:szCs w:val="22"/>
              </w:rPr>
              <w:t>Analyse</w:t>
            </w:r>
            <w:r w:rsidR="000A2433">
              <w:rPr>
                <w:rFonts w:ascii="Arial" w:hAnsi="Arial" w:cs="Arial"/>
                <w:sz w:val="22"/>
                <w:szCs w:val="22"/>
              </w:rPr>
              <w:t xml:space="preserve"> and e</w:t>
            </w:r>
            <w:r w:rsidRPr="00643299" w:rsidR="005B5E1A">
              <w:rPr>
                <w:rFonts w:ascii="Arial" w:hAnsi="Arial" w:cs="Arial"/>
                <w:sz w:val="22"/>
                <w:szCs w:val="22"/>
              </w:rPr>
              <w:t>valuate</w:t>
            </w:r>
            <w:r w:rsidRPr="00643299">
              <w:rPr>
                <w:rFonts w:ascii="Arial" w:hAnsi="Arial" w:cs="Arial"/>
                <w:sz w:val="22"/>
                <w:szCs w:val="22"/>
              </w:rPr>
              <w:t xml:space="preserve"> </w:t>
            </w:r>
            <w:commentRangeEnd w:id="0"/>
            <w:r w:rsidR="00EA603F">
              <w:rPr>
                <w:rStyle w:val="CommentReference"/>
              </w:rPr>
              <w:commentReference w:id="0"/>
            </w:r>
            <w:commentRangeEnd w:id="1"/>
            <w:r w:rsidR="009923B2">
              <w:rPr>
                <w:rStyle w:val="CommentReference"/>
              </w:rPr>
              <w:commentReference w:id="1"/>
            </w:r>
            <w:r w:rsidRPr="00643299" w:rsidR="005B5E1A">
              <w:rPr>
                <w:rFonts w:ascii="Arial" w:hAnsi="Arial" w:cs="Arial"/>
                <w:sz w:val="22"/>
                <w:szCs w:val="22"/>
              </w:rPr>
              <w:t>the impact of current influences on operations to support an organisation’s performance</w:t>
            </w:r>
            <w:r w:rsidR="006432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="00095577" w:rsidP="003F0980" w:rsidRDefault="00095577" w14:paraId="30DBA71A" w14:textId="2904283B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commentRangeStart w:id="2"/>
            <w:r w:rsidR="005B5E1A">
              <w:rPr>
                <w:rFonts w:ascii="Arial" w:hAnsi="Arial" w:cs="Arial"/>
                <w:sz w:val="22"/>
                <w:szCs w:val="22"/>
              </w:rPr>
              <w:t xml:space="preserve">Conduct an analysis </w:t>
            </w:r>
            <w:commentRangeEnd w:id="2"/>
            <w:r w:rsidR="00952D7C">
              <w:rPr>
                <w:rStyle w:val="CommentReference"/>
              </w:rPr>
              <w:commentReference w:id="2"/>
            </w:r>
            <w:r w:rsidR="005B5E1A">
              <w:rPr>
                <w:rFonts w:ascii="Arial" w:hAnsi="Arial" w:cs="Arial"/>
                <w:sz w:val="22"/>
                <w:szCs w:val="22"/>
              </w:rPr>
              <w:t xml:space="preserve">on the current </w:t>
            </w:r>
            <w:r w:rsidR="00882CD4">
              <w:rPr>
                <w:rFonts w:ascii="Arial" w:hAnsi="Arial" w:cs="Arial"/>
                <w:sz w:val="22"/>
                <w:szCs w:val="22"/>
              </w:rPr>
              <w:t xml:space="preserve">influences that impact </w:t>
            </w:r>
            <w:r w:rsidR="00643299">
              <w:rPr>
                <w:rFonts w:ascii="Arial" w:hAnsi="Arial" w:cs="Arial"/>
                <w:sz w:val="22"/>
                <w:szCs w:val="22"/>
              </w:rPr>
              <w:t xml:space="preserve">operations within </w:t>
            </w:r>
            <w:r w:rsidR="00882CD4">
              <w:rPr>
                <w:rFonts w:ascii="Arial" w:hAnsi="Arial" w:cs="Arial"/>
                <w:sz w:val="22"/>
                <w:szCs w:val="22"/>
              </w:rPr>
              <w:t xml:space="preserve">an organisation. </w:t>
            </w:r>
          </w:p>
        </w:tc>
      </w:tr>
      <w:tr w:rsidR="00095577" w:rsidTr="00095577" w14:paraId="796DCEEC" w14:textId="77777777">
        <w:trPr>
          <w:cantSplit/>
          <w:trHeight w:val="683"/>
          <w:tblHeader/>
        </w:trPr>
        <w:tc>
          <w:tcPr>
            <w:tcW w:w="4627" w:type="dxa"/>
            <w:vMerge/>
          </w:tcPr>
          <w:p w:rsidR="00095577" w:rsidP="00DC70E1" w:rsidRDefault="00095577" w14:paraId="13257B61" w14:textId="5F5535CB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F31BB5" w:rsidR="00095577" w:rsidP="00095577" w:rsidRDefault="00095577" w14:paraId="1FFAF3F5" w14:textId="4B6053DF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32189F">
              <w:rPr>
                <w:rFonts w:ascii="Arial" w:hAnsi="Arial" w:cs="Arial"/>
                <w:sz w:val="22"/>
                <w:szCs w:val="22"/>
              </w:rPr>
              <w:t xml:space="preserve">Evaluate the impacts of </w:t>
            </w:r>
            <w:r w:rsidR="0081326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32189F">
              <w:rPr>
                <w:rFonts w:ascii="Arial" w:hAnsi="Arial" w:cs="Arial"/>
                <w:sz w:val="22"/>
                <w:szCs w:val="22"/>
              </w:rPr>
              <w:t xml:space="preserve">influences </w:t>
            </w:r>
            <w:r w:rsidR="00763F93">
              <w:rPr>
                <w:rFonts w:ascii="Arial" w:hAnsi="Arial" w:cs="Arial"/>
                <w:sz w:val="22"/>
                <w:szCs w:val="22"/>
              </w:rPr>
              <w:t xml:space="preserve">to an organisation’s operations. </w:t>
            </w:r>
          </w:p>
        </w:tc>
      </w:tr>
      <w:tr w:rsidR="000A2433" w:rsidTr="002E7BCF" w14:paraId="4093991A" w14:textId="77777777">
        <w:trPr>
          <w:cantSplit/>
          <w:trHeight w:val="276"/>
          <w:tblHeader/>
        </w:trPr>
        <w:tc>
          <w:tcPr>
            <w:tcW w:w="4627" w:type="dxa"/>
          </w:tcPr>
          <w:p w:rsidRPr="00222548" w:rsidR="000A2433" w:rsidP="00DC70E1" w:rsidRDefault="000A2433" w14:paraId="063D3EF8" w14:textId="19971B2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2B6CC2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>
              <w:rPr>
                <w:rFonts w:ascii="Arial" w:hAnsi="Arial" w:cs="Arial"/>
                <w:sz w:val="22"/>
                <w:szCs w:val="22"/>
              </w:rPr>
              <w:t>recommendations based on</w:t>
            </w:r>
            <w:r w:rsidR="00D36064">
              <w:rPr>
                <w:rFonts w:ascii="Arial" w:hAnsi="Arial" w:cs="Arial"/>
                <w:sz w:val="22"/>
                <w:szCs w:val="22"/>
              </w:rPr>
              <w:t xml:space="preserve"> evaluated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r w:rsidR="00D36064">
              <w:rPr>
                <w:rFonts w:ascii="Arial" w:hAnsi="Arial" w:cs="Arial"/>
                <w:sz w:val="22"/>
                <w:szCs w:val="22"/>
              </w:rPr>
              <w:t xml:space="preserve">to inform decision-making.  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2433" w:rsidP="00B9736D" w:rsidRDefault="00D23E62" w14:paraId="76A55AA6" w14:textId="1D66B153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Make</w:t>
            </w:r>
            <w:r w:rsidR="002B6CC2">
              <w:rPr>
                <w:rFonts w:ascii="Arial" w:hAnsi="Arial" w:cs="Arial"/>
                <w:sz w:val="22"/>
                <w:szCs w:val="22"/>
              </w:rPr>
              <w:t xml:space="preserve"> strategic</w:t>
            </w:r>
            <w:r>
              <w:rPr>
                <w:rFonts w:ascii="Arial" w:hAnsi="Arial" w:cs="Arial"/>
                <w:sz w:val="22"/>
                <w:szCs w:val="22"/>
              </w:rPr>
              <w:t xml:space="preserve"> recommendations based on the evaluation</w:t>
            </w:r>
            <w:r w:rsidR="00763F93">
              <w:rPr>
                <w:rFonts w:ascii="Arial" w:hAnsi="Arial" w:cs="Arial"/>
                <w:sz w:val="22"/>
                <w:szCs w:val="22"/>
              </w:rPr>
              <w:t xml:space="preserve"> of impacts.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87193D" w:rsidP="0087193D" w:rsidRDefault="0087193D" w14:paraId="7D026055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26912" w:rsidP="00026912" w:rsidRDefault="00026912" w14:paraId="1E6DCCBD" w14:textId="27B2DC97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351F24">
        <w:rPr>
          <w:rFonts w:ascii="Arial" w:hAnsi="Arial" w:cs="Arial"/>
          <w:sz w:val="22"/>
          <w:szCs w:val="22"/>
        </w:rPr>
        <w:t>demonstrated</w:t>
      </w:r>
      <w:r w:rsidRPr="00865499">
        <w:rPr>
          <w:rFonts w:ascii="Arial" w:hAnsi="Arial" w:cs="Arial"/>
          <w:sz w:val="22"/>
          <w:szCs w:val="22"/>
        </w:rPr>
        <w:t xml:space="preserve">, when appropriate situations arise, </w:t>
      </w:r>
      <w:commentRangeStart w:id="3"/>
      <w:r w:rsidRPr="00865499">
        <w:rPr>
          <w:rFonts w:ascii="Arial" w:hAnsi="Arial" w:cs="Arial"/>
          <w:sz w:val="22"/>
          <w:szCs w:val="22"/>
        </w:rPr>
        <w:t>or in a training environment if simulated conditions are able to be provided that reflect the standards of a workplace</w:t>
      </w:r>
      <w:r w:rsidR="006228CC"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  <w:commentRangeEnd w:id="3"/>
      <w:r w:rsidR="00BF20FE">
        <w:rPr>
          <w:rStyle w:val="CommentReference"/>
        </w:rPr>
        <w:commentReference w:id="3"/>
      </w:r>
    </w:p>
    <w:p w:rsidR="002575FA" w:rsidP="00002F4C" w:rsidRDefault="002575FA" w14:paraId="18867407" w14:textId="6B332473">
      <w:pPr>
        <w:spacing w:after="0" w:line="240" w:lineRule="auto"/>
        <w:rPr>
          <w:rFonts w:ascii="Arial" w:hAnsi="Arial" w:cs="Arial"/>
          <w:sz w:val="22"/>
          <w:szCs w:val="22"/>
        </w:rPr>
      </w:pPr>
      <w:r w:rsidRPr="7951D635" w:rsidR="002575FA">
        <w:rPr>
          <w:rFonts w:ascii="Arial" w:hAnsi="Arial" w:cs="Arial"/>
          <w:sz w:val="22"/>
          <w:szCs w:val="22"/>
        </w:rPr>
        <w:t xml:space="preserve">Evidence of assessment must reflect </w:t>
      </w:r>
      <w:r w:rsidRPr="7951D635" w:rsidR="0AC2A846">
        <w:rPr>
          <w:rFonts w:ascii="Arial" w:hAnsi="Arial" w:cs="Arial"/>
          <w:sz w:val="22"/>
          <w:szCs w:val="22"/>
        </w:rPr>
        <w:t xml:space="preserve">any </w:t>
      </w:r>
      <w:r w:rsidRPr="7951D635" w:rsidR="002575FA">
        <w:rPr>
          <w:rFonts w:ascii="Arial" w:hAnsi="Arial" w:cs="Arial"/>
          <w:sz w:val="22"/>
          <w:szCs w:val="22"/>
        </w:rPr>
        <w:t>applicable</w:t>
      </w:r>
      <w:r w:rsidRPr="7951D635" w:rsidR="15A4C200">
        <w:rPr>
          <w:rFonts w:ascii="Arial" w:hAnsi="Arial" w:cs="Arial"/>
          <w:sz w:val="22"/>
          <w:szCs w:val="22"/>
        </w:rPr>
        <w:t xml:space="preserve"> </w:t>
      </w:r>
      <w:r w:rsidRPr="7951D635" w:rsidR="002575FA">
        <w:rPr>
          <w:rFonts w:ascii="Arial" w:hAnsi="Arial" w:cs="Arial"/>
          <w:sz w:val="22"/>
          <w:szCs w:val="22"/>
        </w:rPr>
        <w:t xml:space="preserve">workplace policies and procedures such as standard operating procedures, safety procedures, equipment operating procedures, codes of practice, quality management practices and standards, procedures to </w:t>
      </w:r>
      <w:r w:rsidRPr="7951D635" w:rsidR="002575FA">
        <w:rPr>
          <w:rFonts w:ascii="Arial" w:hAnsi="Arial" w:cs="Arial"/>
          <w:sz w:val="22"/>
          <w:szCs w:val="22"/>
        </w:rPr>
        <w:t>comply with</w:t>
      </w:r>
      <w:r w:rsidRPr="7951D635" w:rsidR="002575FA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="00697CBA" w:rsidP="00002F4C" w:rsidRDefault="00697CBA" w14:paraId="36643EB0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AB2584" w:rsidR="00383B5F" w:rsidP="00383B5F" w:rsidRDefault="00383B5F" w14:paraId="62BE9A43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383B5F" w:rsidP="00383B5F" w:rsidRDefault="00383B5F" w14:paraId="4530DE1F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5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Pr="0075726F" w:rsidR="00002F4C" w:rsidP="00002F4C" w:rsidRDefault="00002F4C" w14:paraId="39E13F61" w14:textId="77777777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8A649D" w:rsidP="00813266" w:rsidRDefault="00002F4C" w14:paraId="169EDDF3" w14:textId="5022CC54">
      <w:pPr>
        <w:spacing w:before="60"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002F4C">
        <w:rPr>
          <w:rFonts w:ascii="Arial" w:hAnsi="Arial" w:cs="Arial"/>
          <w:i/>
          <w:iCs/>
          <w:sz w:val="22"/>
          <w:szCs w:val="22"/>
        </w:rPr>
        <w:t>Definitions</w:t>
      </w:r>
    </w:p>
    <w:p w:rsidR="005C0AD9" w:rsidP="00813266" w:rsidRDefault="005C0AD9" w14:paraId="3FD1845D" w14:textId="77777777">
      <w:pPr>
        <w:spacing w:before="60" w:after="0" w:line="240" w:lineRule="auto"/>
        <w:rPr>
          <w:rFonts w:ascii="Arial" w:hAnsi="Arial" w:cs="Arial"/>
          <w:i/>
          <w:iCs/>
          <w:sz w:val="22"/>
          <w:szCs w:val="22"/>
        </w:rPr>
      </w:pPr>
    </w:p>
    <w:p w:rsidRPr="00800E71" w:rsidR="005C0AD9" w:rsidP="005C0AD9" w:rsidRDefault="005C0AD9" w14:paraId="66493042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E392F" w:rsidP="00FE392F" w:rsidRDefault="00FE392F" w14:paraId="013BC82C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Current </w:t>
      </w:r>
      <w:r w:rsidRPr="00C032C3">
        <w:rPr>
          <w:rFonts w:ascii="Arial" w:hAnsi="Arial" w:cs="Arial"/>
          <w:i/>
          <w:iCs/>
          <w:sz w:val="22"/>
          <w:szCs w:val="22"/>
        </w:rPr>
        <w:t xml:space="preserve">Influences </w:t>
      </w:r>
      <w:r>
        <w:rPr>
          <w:rFonts w:ascii="Arial" w:hAnsi="Arial" w:cs="Arial"/>
          <w:sz w:val="22"/>
          <w:szCs w:val="22"/>
        </w:rPr>
        <w:t xml:space="preserve">may refer to </w:t>
      </w:r>
      <w:r w:rsidRPr="00813266">
        <w:rPr>
          <w:rFonts w:ascii="Arial" w:hAnsi="Arial" w:cs="Arial"/>
          <w:sz w:val="22"/>
          <w:szCs w:val="22"/>
        </w:rPr>
        <w:t>local and global trends that may impact an organisation economically, environmentally, socially, and culturally.</w:t>
      </w:r>
    </w:p>
    <w:p w:rsidR="005926FF" w:rsidP="00FE392F" w:rsidRDefault="005926FF" w14:paraId="323F070E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</w:p>
    <w:p w:rsidRPr="005926FF" w:rsidR="005926FF" w:rsidP="005926FF" w:rsidRDefault="005926FF" w14:paraId="05BBF636" w14:textId="3173816C">
      <w:pPr>
        <w:spacing w:line="240" w:lineRule="auto"/>
        <w:rPr>
          <w:rFonts w:ascii="Arial" w:hAnsi="Arial" w:cs="Arial"/>
          <w:sz w:val="22"/>
          <w:szCs w:val="22"/>
        </w:rPr>
      </w:pPr>
      <w:r w:rsidRPr="005926FF">
        <w:rPr>
          <w:rFonts w:ascii="Arial" w:hAnsi="Arial" w:cs="Arial"/>
          <w:bCs/>
          <w:i/>
          <w:iCs/>
          <w:sz w:val="22"/>
          <w:szCs w:val="22"/>
        </w:rPr>
        <w:t>Evaluate</w:t>
      </w:r>
      <w:r w:rsidRPr="005926FF">
        <w:rPr>
          <w:rFonts w:ascii="Arial" w:hAnsi="Arial" w:cs="Arial"/>
          <w:bCs/>
          <w:sz w:val="22"/>
          <w:szCs w:val="22"/>
        </w:rPr>
        <w:t xml:space="preserve"> </w:t>
      </w:r>
      <w:r w:rsidRPr="005926FF">
        <w:rPr>
          <w:rFonts w:ascii="Arial" w:hAnsi="Arial" w:cs="Arial"/>
          <w:sz w:val="22"/>
          <w:szCs w:val="22"/>
        </w:rPr>
        <w:t>refers to using a range of methodologies, tools, data analysis</w:t>
      </w:r>
      <w:r w:rsidR="000B4B43">
        <w:rPr>
          <w:rFonts w:ascii="Arial" w:hAnsi="Arial" w:cs="Arial"/>
          <w:sz w:val="22"/>
          <w:szCs w:val="22"/>
        </w:rPr>
        <w:t>, potential</w:t>
      </w:r>
      <w:r w:rsidRPr="005926FF">
        <w:rPr>
          <w:rFonts w:ascii="Arial" w:hAnsi="Arial" w:cs="Arial"/>
          <w:sz w:val="22"/>
          <w:szCs w:val="22"/>
        </w:rPr>
        <w:t xml:space="preserve"> outcomes.  </w:t>
      </w:r>
    </w:p>
    <w:p w:rsidR="00002F4C" w:rsidP="00002F4C" w:rsidRDefault="00002F4C" w14:paraId="6F7A9F06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  <w:r w:rsidRPr="00FA0184">
        <w:rPr>
          <w:rFonts w:ascii="Arial" w:hAnsi="Arial" w:cs="Arial"/>
          <w:sz w:val="22"/>
          <w:szCs w:val="22"/>
        </w:rPr>
        <w:t xml:space="preserve">An </w:t>
      </w:r>
      <w:r w:rsidRPr="00FA0184">
        <w:rPr>
          <w:rFonts w:ascii="Arial" w:hAnsi="Arial" w:cs="Arial"/>
          <w:i/>
          <w:iCs/>
          <w:sz w:val="22"/>
          <w:szCs w:val="22"/>
        </w:rPr>
        <w:t xml:space="preserve">organisation </w:t>
      </w:r>
      <w:r w:rsidRPr="00FA0184">
        <w:rPr>
          <w:rFonts w:ascii="Arial" w:hAnsi="Arial" w:cs="Arial"/>
          <w:sz w:val="22"/>
          <w:szCs w:val="22"/>
        </w:rPr>
        <w:t xml:space="preserve">can be an entity, commercial or other enterprise, not necessarily for profit, a community organisation, and can be a discretely managed business unit within a larger organisation. </w:t>
      </w:r>
    </w:p>
    <w:p w:rsidRPr="00FA0184" w:rsidR="00002F4C" w:rsidP="00002F4C" w:rsidRDefault="00002F4C" w14:paraId="4E33A5A3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66C6C7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9F033A" w:rsidP="009F033A" w:rsidRDefault="000E2C66" w14:paraId="32D41366" w14:textId="4306C12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Analysis</w:t>
      </w:r>
    </w:p>
    <w:p w:rsidR="000E2C66" w:rsidP="008B29A1" w:rsidRDefault="0061159E" w14:paraId="3E09437F" w14:textId="22C413B9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0E2C66" w:rsidR="000E2C66">
        <w:rPr>
          <w:rFonts w:ascii="Arial" w:hAnsi="Arial" w:cs="Arial"/>
          <w:color w:val="000000" w:themeColor="text1"/>
          <w:sz w:val="22"/>
          <w:szCs w:val="22"/>
        </w:rPr>
        <w:t xml:space="preserve">nvironmental scan </w:t>
      </w:r>
    </w:p>
    <w:p w:rsidR="000E2C66" w:rsidP="008B29A1" w:rsidRDefault="0061159E" w14:paraId="58BE5952" w14:textId="39364B6F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0E2C66">
        <w:rPr>
          <w:rFonts w:ascii="Arial" w:hAnsi="Arial" w:cs="Arial"/>
          <w:color w:val="000000" w:themeColor="text1"/>
          <w:sz w:val="22"/>
          <w:szCs w:val="22"/>
        </w:rPr>
        <w:t xml:space="preserve">eport </w:t>
      </w:r>
    </w:p>
    <w:p w:rsidR="00E93EDC" w:rsidP="008B29A1" w:rsidRDefault="0061159E" w14:paraId="7145252C" w14:textId="47C45360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E93EDC">
        <w:rPr>
          <w:rFonts w:ascii="Arial" w:hAnsi="Arial" w:cs="Arial"/>
          <w:color w:val="000000" w:themeColor="text1"/>
          <w:sz w:val="22"/>
          <w:szCs w:val="22"/>
        </w:rPr>
        <w:t xml:space="preserve">isk analysis </w:t>
      </w:r>
    </w:p>
    <w:p w:rsidR="00FD7A04" w:rsidP="008B29A1" w:rsidRDefault="0061159E" w14:paraId="4A1632AE" w14:textId="34F70573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FD7A04">
        <w:rPr>
          <w:rFonts w:ascii="Arial" w:hAnsi="Arial" w:cs="Arial"/>
          <w:color w:val="000000" w:themeColor="text1"/>
          <w:sz w:val="22"/>
          <w:szCs w:val="22"/>
        </w:rPr>
        <w:t>heory</w:t>
      </w:r>
    </w:p>
    <w:p w:rsidR="0046120B" w:rsidP="008B29A1" w:rsidRDefault="0061159E" w14:paraId="50CA6441" w14:textId="33D2BB36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46120B">
        <w:rPr>
          <w:rFonts w:ascii="Arial" w:hAnsi="Arial" w:cs="Arial"/>
          <w:color w:val="000000" w:themeColor="text1"/>
          <w:sz w:val="22"/>
          <w:szCs w:val="22"/>
        </w:rPr>
        <w:t>urveys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612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E2C66" w:rsidP="000E2C66" w:rsidRDefault="000E2C66" w14:paraId="58BEB6E2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E2C66" w:rsidP="000E2C66" w:rsidRDefault="000E2C66" w14:paraId="47857790" w14:textId="7F4016F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commentRangeStart w:id="4"/>
      <w:r>
        <w:rPr>
          <w:rFonts w:ascii="Arial" w:hAnsi="Arial" w:cs="Arial"/>
          <w:color w:val="000000" w:themeColor="text1"/>
          <w:sz w:val="22"/>
          <w:szCs w:val="22"/>
        </w:rPr>
        <w:t xml:space="preserve">Evaluation </w:t>
      </w:r>
      <w:commentRangeEnd w:id="4"/>
      <w:r w:rsidR="005220E2">
        <w:rPr>
          <w:rStyle w:val="CommentReference"/>
        </w:rPr>
        <w:commentReference w:id="4"/>
      </w:r>
    </w:p>
    <w:p w:rsidRPr="008B29A1" w:rsidR="008B29A1" w:rsidP="008B29A1" w:rsidRDefault="008B29A1" w14:paraId="018B2609" w14:textId="2A0B2250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B29A1">
        <w:rPr>
          <w:rFonts w:ascii="Arial" w:hAnsi="Arial" w:cs="Arial"/>
          <w:color w:val="000000" w:themeColor="text1"/>
          <w:sz w:val="22"/>
          <w:szCs w:val="22"/>
        </w:rPr>
        <w:t>methodologies</w:t>
      </w:r>
    </w:p>
    <w:p w:rsidRPr="008B29A1" w:rsidR="008B29A1" w:rsidP="008B29A1" w:rsidRDefault="008B29A1" w14:paraId="1758FBF5" w14:textId="49235097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B29A1">
        <w:rPr>
          <w:rFonts w:ascii="Arial" w:hAnsi="Arial" w:cs="Arial"/>
          <w:color w:val="000000" w:themeColor="text1"/>
          <w:sz w:val="22"/>
          <w:szCs w:val="22"/>
        </w:rPr>
        <w:t>tools</w:t>
      </w:r>
    </w:p>
    <w:p w:rsidRPr="008B29A1" w:rsidR="008B29A1" w:rsidP="008B29A1" w:rsidRDefault="008B29A1" w14:paraId="3162EAE4" w14:textId="6B8E8DB6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B29A1">
        <w:rPr>
          <w:rFonts w:ascii="Arial" w:hAnsi="Arial" w:cs="Arial"/>
          <w:color w:val="000000" w:themeColor="text1"/>
          <w:sz w:val="22"/>
          <w:szCs w:val="22"/>
        </w:rPr>
        <w:t>data analysis</w:t>
      </w:r>
    </w:p>
    <w:p w:rsidRPr="008B29A1" w:rsidR="008B29A1" w:rsidP="008B29A1" w:rsidRDefault="000B4B43" w14:paraId="6681BA74" w14:textId="37A4AB52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potential </w:t>
      </w:r>
      <w:r w:rsidRPr="008B29A1" w:rsidR="008B29A1">
        <w:rPr>
          <w:rFonts w:ascii="Arial" w:hAnsi="Arial" w:cs="Arial"/>
          <w:color w:val="000000" w:themeColor="text1"/>
          <w:sz w:val="22"/>
          <w:szCs w:val="22"/>
        </w:rPr>
        <w:t>outcomes</w:t>
      </w:r>
      <w:r w:rsidR="00946E8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077ED" w:rsidP="00DC70E1" w:rsidRDefault="00B077ED" w14:paraId="64E33BDA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0E2C66" w:rsidP="00DC70E1" w:rsidRDefault="000E2C66" w14:paraId="31093238" w14:textId="4D9FA9C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Recommendations</w:t>
      </w:r>
    </w:p>
    <w:p w:rsidR="000E2C66" w:rsidP="008B29A1" w:rsidRDefault="00946E88" w14:paraId="60F4E1F5" w14:textId="1DFD3E12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A4815" w:rsidR="00EA4815">
        <w:rPr>
          <w:rFonts w:ascii="Arial" w:hAnsi="Arial" w:cs="Arial"/>
          <w:sz w:val="22"/>
          <w:szCs w:val="22"/>
        </w:rPr>
        <w:t>hort- and long-term implications</w:t>
      </w:r>
    </w:p>
    <w:p w:rsidR="00A31B06" w:rsidP="008B29A1" w:rsidRDefault="00316BF7" w14:paraId="13115C7D" w14:textId="098735A5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operational considerations </w:t>
      </w:r>
    </w:p>
    <w:p w:rsidRPr="00EA4815" w:rsidR="005F2A95" w:rsidP="008B29A1" w:rsidRDefault="005F2A95" w14:paraId="62AC6004" w14:textId="268D519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implications</w:t>
      </w:r>
      <w:r w:rsidR="00946E88">
        <w:rPr>
          <w:rFonts w:ascii="Arial" w:hAnsi="Arial" w:cs="Arial"/>
          <w:sz w:val="22"/>
          <w:szCs w:val="22"/>
        </w:rPr>
        <w:t xml:space="preserve">. </w:t>
      </w:r>
    </w:p>
    <w:p w:rsidR="00EA4815" w:rsidP="00DC70E1" w:rsidRDefault="00EA4815" w14:paraId="3C62CE78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DE5B28" w:rsidP="00DE5B28" w:rsidRDefault="00DE5B28" w14:paraId="4479E325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6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DE5B28" w:rsidP="00DE5B28" w:rsidRDefault="00DE5B28" w14:paraId="130BCF8C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7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E3621B" w:rsidRDefault="00E3621B" w14:paraId="4ED5F285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5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5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9F033A" w14:paraId="5B6BA2B8" w14:textId="70814F1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312C03" w14:paraId="604F91EA" w14:textId="48B5F63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Business&gt; Business Operations and Development &gt; </w:t>
            </w:r>
            <w:r w:rsidR="00316B20">
              <w:rPr>
                <w:rFonts w:ascii="Arial" w:hAnsi="Arial" w:cs="Arial"/>
                <w:sz w:val="22"/>
                <w:szCs w:val="22"/>
              </w:rPr>
              <w:t xml:space="preserve">Organisational Direction and Strategy 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312C03" w14:paraId="331F4369" w14:textId="411759B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694F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2205DA" w14:paraId="1407BEA9" w14:textId="19E22D2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5F5F6C" w:rsidP="005F5F6C" w:rsidRDefault="00C302FE" w14:paraId="5707A516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00865499" w:rsidR="005F5F6C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Ringa Hora Services Workforce Development Council at </w:t>
      </w:r>
      <w:hyperlink w:history="1" r:id="rId18">
        <w:r w:rsidRPr="00865499" w:rsidR="005F5F6C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5F5F6C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5B552EA8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9"/>
      <w:footerReference w:type="default" r:id="rId20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4-09-05T15:01:00Z" w:id="0">
    <w:p w:rsidR="00EA603F" w:rsidP="00EA603F" w:rsidRDefault="00EA603F" w14:paraId="0CECD0A2" w14:textId="77777777">
      <w:pPr>
        <w:pStyle w:val="CommentText"/>
      </w:pPr>
      <w:r>
        <w:rPr>
          <w:rStyle w:val="CommentReference"/>
        </w:rPr>
        <w:annotationRef/>
      </w:r>
      <w:r>
        <w:t xml:space="preserve">Would need to define the two and how they are different </w:t>
      </w:r>
    </w:p>
  </w:comment>
  <w:comment w:initials="SC" w:author="Sandy Chan" w:date="2025-02-12T14:16:00Z" w:id="1">
    <w:p w:rsidR="001A2B6B" w:rsidP="001A2B6B" w:rsidRDefault="009923B2" w14:paraId="0FD7E6A7" w14:textId="77777777">
      <w:pPr>
        <w:pStyle w:val="CommentText"/>
      </w:pPr>
      <w:r>
        <w:rPr>
          <w:rStyle w:val="CommentReference"/>
        </w:rPr>
        <w:annotationRef/>
      </w:r>
      <w:r w:rsidR="001A2B6B">
        <w:t>Analyse would be to look at the data and make sense, Evaluate is to rank - see definition on evaluate</w:t>
      </w:r>
    </w:p>
  </w:comment>
  <w:comment w:initials="SC" w:author="Sandy Chan" w:date="2025-06-17T10:51:00Z" w:id="2">
    <w:p w:rsidR="00BB2938" w:rsidP="00BB2938" w:rsidRDefault="00952D7C" w14:paraId="30D8F24D" w14:textId="172B0664">
      <w:pPr>
        <w:pStyle w:val="CommentText"/>
      </w:pPr>
      <w:r>
        <w:rPr>
          <w:rStyle w:val="CommentReference"/>
        </w:rPr>
        <w:annotationRef/>
      </w:r>
      <w:r w:rsidR="00BB2938">
        <w:t xml:space="preserve">This is more than do an analysis or analyse and conduct an analysis implies that there is a process. Stick with conduct an analysis. </w:t>
      </w:r>
    </w:p>
  </w:comment>
  <w:comment w:initials="SC" w:author="Sandy Chan" w:date="2024-10-22T10:16:00Z" w:id="3">
    <w:p w:rsidR="00F43951" w:rsidP="00F43951" w:rsidRDefault="00BF20FE" w14:paraId="2A95DB5B" w14:textId="30B0B253">
      <w:pPr>
        <w:pStyle w:val="CommentText"/>
      </w:pPr>
      <w:r>
        <w:rPr>
          <w:rStyle w:val="CommentReference"/>
        </w:rPr>
        <w:annotationRef/>
      </w:r>
      <w:r w:rsidR="00F43951">
        <w:t xml:space="preserve">This has been broadened out to reflect a leadership context can be simulated. </w:t>
      </w:r>
    </w:p>
  </w:comment>
  <w:comment w:initials="SC" w:author="Sandy Chan" w:date="2024-09-23T14:42:00Z" w:id="4">
    <w:p w:rsidR="005220E2" w:rsidP="005220E2" w:rsidRDefault="005220E2" w14:paraId="418FC318" w14:textId="33C9C119">
      <w:pPr>
        <w:pStyle w:val="CommentText"/>
      </w:pPr>
      <w:r>
        <w:rPr>
          <w:rStyle w:val="CommentReference"/>
        </w:rPr>
        <w:annotationRef/>
      </w:r>
      <w:r>
        <w:t xml:space="preserve">What are some evaluation tools?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ECD0A2" w15:done="0"/>
  <w15:commentEx w15:paraId="0FD7E6A7" w15:paraIdParent="0CECD0A2" w15:done="0"/>
  <w15:commentEx w15:paraId="30D8F24D" w15:done="0"/>
  <w15:commentEx w15:paraId="2A95DB5B" w15:done="1"/>
  <w15:commentEx w15:paraId="418FC31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F40EC0" w16cex:dateUtc="2024-09-05T03:01:00Z"/>
  <w16cex:commentExtensible w16cex:durableId="5AEA44CB" w16cex:dateUtc="2025-02-12T01:16:00Z"/>
  <w16cex:commentExtensible w16cex:durableId="1291BA78" w16cex:dateUtc="2025-06-16T22:51:00Z"/>
  <w16cex:commentExtensible w16cex:durableId="05043BB5" w16cex:dateUtc="2024-10-21T21:16:00Z"/>
  <w16cex:commentExtensible w16cex:durableId="59971256" w16cex:dateUtc="2024-09-23T0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ECD0A2" w16cid:durableId="62F40EC0"/>
  <w16cid:commentId w16cid:paraId="0FD7E6A7" w16cid:durableId="5AEA44CB"/>
  <w16cid:commentId w16cid:paraId="30D8F24D" w16cid:durableId="1291BA78"/>
  <w16cid:commentId w16cid:paraId="2A95DB5B" w16cid:durableId="05043BB5"/>
  <w16cid:commentId w16cid:paraId="418FC318" w16cid:durableId="59971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720" w:rsidP="000E4D2B" w:rsidRDefault="00292720" w14:paraId="49825942" w14:textId="77777777">
      <w:pPr>
        <w:spacing w:after="0" w:line="240" w:lineRule="auto"/>
      </w:pPr>
      <w:r>
        <w:separator/>
      </w:r>
    </w:p>
  </w:endnote>
  <w:endnote w:type="continuationSeparator" w:id="0">
    <w:p w:rsidR="00292720" w:rsidP="000E4D2B" w:rsidRDefault="00292720" w14:paraId="2CA94C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10FF69C0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86235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720" w:rsidP="000E4D2B" w:rsidRDefault="00292720" w14:paraId="34378974" w14:textId="77777777">
      <w:pPr>
        <w:spacing w:after="0" w:line="240" w:lineRule="auto"/>
      </w:pPr>
      <w:r>
        <w:separator/>
      </w:r>
    </w:p>
  </w:footnote>
  <w:footnote w:type="continuationSeparator" w:id="0">
    <w:p w:rsidR="00292720" w:rsidP="000E4D2B" w:rsidRDefault="00292720" w14:paraId="2611AC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1F1374"/>
    <w:multiLevelType w:val="hybridMultilevel"/>
    <w:tmpl w:val="ED0209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4583E"/>
    <w:multiLevelType w:val="hybridMultilevel"/>
    <w:tmpl w:val="2140EC0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C0680"/>
    <w:multiLevelType w:val="hybridMultilevel"/>
    <w:tmpl w:val="033430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1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2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47744"/>
    <w:multiLevelType w:val="hybridMultilevel"/>
    <w:tmpl w:val="78468F4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8"/>
  </w:num>
  <w:num w:numId="2" w16cid:durableId="915044687">
    <w:abstractNumId w:val="39"/>
  </w:num>
  <w:num w:numId="3" w16cid:durableId="2057119288">
    <w:abstractNumId w:val="38"/>
  </w:num>
  <w:num w:numId="4" w16cid:durableId="1052073817">
    <w:abstractNumId w:val="46"/>
  </w:num>
  <w:num w:numId="5" w16cid:durableId="1425226583">
    <w:abstractNumId w:val="30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1"/>
  </w:num>
  <w:num w:numId="9" w16cid:durableId="699747702">
    <w:abstractNumId w:val="7"/>
  </w:num>
  <w:num w:numId="10" w16cid:durableId="966857946">
    <w:abstractNumId w:val="37"/>
  </w:num>
  <w:num w:numId="11" w16cid:durableId="44067730">
    <w:abstractNumId w:val="18"/>
  </w:num>
  <w:num w:numId="12" w16cid:durableId="2131123601">
    <w:abstractNumId w:val="45"/>
  </w:num>
  <w:num w:numId="13" w16cid:durableId="1240865703">
    <w:abstractNumId w:val="25"/>
  </w:num>
  <w:num w:numId="14" w16cid:durableId="354120092">
    <w:abstractNumId w:val="23"/>
  </w:num>
  <w:num w:numId="15" w16cid:durableId="1452553513">
    <w:abstractNumId w:val="17"/>
  </w:num>
  <w:num w:numId="16" w16cid:durableId="236936658">
    <w:abstractNumId w:val="28"/>
  </w:num>
  <w:num w:numId="17" w16cid:durableId="893010537">
    <w:abstractNumId w:val="35"/>
  </w:num>
  <w:num w:numId="18" w16cid:durableId="897741747">
    <w:abstractNumId w:val="27"/>
  </w:num>
  <w:num w:numId="19" w16cid:durableId="4285149">
    <w:abstractNumId w:val="22"/>
  </w:num>
  <w:num w:numId="20" w16cid:durableId="671374650">
    <w:abstractNumId w:val="13"/>
  </w:num>
  <w:num w:numId="21" w16cid:durableId="1018316377">
    <w:abstractNumId w:val="44"/>
  </w:num>
  <w:num w:numId="22" w16cid:durableId="537737573">
    <w:abstractNumId w:val="15"/>
  </w:num>
  <w:num w:numId="23" w16cid:durableId="1324354682">
    <w:abstractNumId w:val="2"/>
  </w:num>
  <w:num w:numId="24" w16cid:durableId="1167206038">
    <w:abstractNumId w:val="19"/>
  </w:num>
  <w:num w:numId="25" w16cid:durableId="1496874151">
    <w:abstractNumId w:val="20"/>
  </w:num>
  <w:num w:numId="26" w16cid:durableId="281616417">
    <w:abstractNumId w:val="21"/>
  </w:num>
  <w:num w:numId="27" w16cid:durableId="1241670441">
    <w:abstractNumId w:val="33"/>
  </w:num>
  <w:num w:numId="28" w16cid:durableId="577712039">
    <w:abstractNumId w:val="29"/>
  </w:num>
  <w:num w:numId="29" w16cid:durableId="1669674177">
    <w:abstractNumId w:val="26"/>
  </w:num>
  <w:num w:numId="30" w16cid:durableId="974794058">
    <w:abstractNumId w:val="12"/>
  </w:num>
  <w:num w:numId="31" w16cid:durableId="347946128">
    <w:abstractNumId w:val="6"/>
  </w:num>
  <w:num w:numId="32" w16cid:durableId="472721128">
    <w:abstractNumId w:val="42"/>
  </w:num>
  <w:num w:numId="33" w16cid:durableId="727149661">
    <w:abstractNumId w:val="0"/>
  </w:num>
  <w:num w:numId="34" w16cid:durableId="381174593">
    <w:abstractNumId w:val="36"/>
  </w:num>
  <w:num w:numId="35" w16cid:durableId="939338842">
    <w:abstractNumId w:val="43"/>
  </w:num>
  <w:num w:numId="36" w16cid:durableId="12344548">
    <w:abstractNumId w:val="8"/>
  </w:num>
  <w:num w:numId="37" w16cid:durableId="829250700">
    <w:abstractNumId w:val="41"/>
  </w:num>
  <w:num w:numId="38" w16cid:durableId="1098521021">
    <w:abstractNumId w:val="14"/>
  </w:num>
  <w:num w:numId="39" w16cid:durableId="1086147032">
    <w:abstractNumId w:val="4"/>
  </w:num>
  <w:num w:numId="40" w16cid:durableId="398990129">
    <w:abstractNumId w:val="32"/>
  </w:num>
  <w:num w:numId="41" w16cid:durableId="1906724783">
    <w:abstractNumId w:val="24"/>
  </w:num>
  <w:num w:numId="42" w16cid:durableId="92745473">
    <w:abstractNumId w:val="10"/>
  </w:num>
  <w:num w:numId="43" w16cid:durableId="1952516151">
    <w:abstractNumId w:val="11"/>
  </w:num>
  <w:num w:numId="44" w16cid:durableId="258561260">
    <w:abstractNumId w:val="1"/>
  </w:num>
  <w:num w:numId="45" w16cid:durableId="1097793809">
    <w:abstractNumId w:val="47"/>
  </w:num>
  <w:num w:numId="46" w16cid:durableId="752899544">
    <w:abstractNumId w:val="5"/>
  </w:num>
  <w:num w:numId="47" w16cid:durableId="524708444">
    <w:abstractNumId w:val="9"/>
  </w:num>
  <w:num w:numId="48" w16cid:durableId="844246289">
    <w:abstractNumId w:val="16"/>
  </w:num>
  <w:num w:numId="49" w16cid:durableId="1400403814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BE"/>
    <w:rsid w:val="00002CE6"/>
    <w:rsid w:val="00002F4C"/>
    <w:rsid w:val="000068B9"/>
    <w:rsid w:val="00011D6D"/>
    <w:rsid w:val="00012710"/>
    <w:rsid w:val="00012F02"/>
    <w:rsid w:val="000231B5"/>
    <w:rsid w:val="00026912"/>
    <w:rsid w:val="00030C56"/>
    <w:rsid w:val="00033356"/>
    <w:rsid w:val="00040AA0"/>
    <w:rsid w:val="00044F83"/>
    <w:rsid w:val="00046FFC"/>
    <w:rsid w:val="00051D9D"/>
    <w:rsid w:val="00070812"/>
    <w:rsid w:val="00077AD8"/>
    <w:rsid w:val="00085BF7"/>
    <w:rsid w:val="0008628A"/>
    <w:rsid w:val="000904D1"/>
    <w:rsid w:val="000920E3"/>
    <w:rsid w:val="000941C7"/>
    <w:rsid w:val="00095577"/>
    <w:rsid w:val="000A01B4"/>
    <w:rsid w:val="000A0635"/>
    <w:rsid w:val="000A2433"/>
    <w:rsid w:val="000A5CBF"/>
    <w:rsid w:val="000A755F"/>
    <w:rsid w:val="000B4B43"/>
    <w:rsid w:val="000B53DF"/>
    <w:rsid w:val="000B5BD3"/>
    <w:rsid w:val="000C09BC"/>
    <w:rsid w:val="000C4353"/>
    <w:rsid w:val="000C7321"/>
    <w:rsid w:val="000D1A7E"/>
    <w:rsid w:val="000D7AF5"/>
    <w:rsid w:val="000E2C66"/>
    <w:rsid w:val="000E4D2B"/>
    <w:rsid w:val="000E5A36"/>
    <w:rsid w:val="00101F1B"/>
    <w:rsid w:val="00102389"/>
    <w:rsid w:val="001061EF"/>
    <w:rsid w:val="00110689"/>
    <w:rsid w:val="00133EE5"/>
    <w:rsid w:val="00143C2A"/>
    <w:rsid w:val="001516A8"/>
    <w:rsid w:val="0015191A"/>
    <w:rsid w:val="00160821"/>
    <w:rsid w:val="00162512"/>
    <w:rsid w:val="001709E9"/>
    <w:rsid w:val="00170D99"/>
    <w:rsid w:val="001723A1"/>
    <w:rsid w:val="00180BE0"/>
    <w:rsid w:val="001961F1"/>
    <w:rsid w:val="001A1A7D"/>
    <w:rsid w:val="001A2B6B"/>
    <w:rsid w:val="001B0110"/>
    <w:rsid w:val="001B3C76"/>
    <w:rsid w:val="001C0074"/>
    <w:rsid w:val="001C547E"/>
    <w:rsid w:val="001D3B37"/>
    <w:rsid w:val="001D66E8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33D5"/>
    <w:rsid w:val="00246866"/>
    <w:rsid w:val="0025519D"/>
    <w:rsid w:val="00255C11"/>
    <w:rsid w:val="00255F06"/>
    <w:rsid w:val="00256034"/>
    <w:rsid w:val="00256F75"/>
    <w:rsid w:val="002575FA"/>
    <w:rsid w:val="002579E2"/>
    <w:rsid w:val="002636A4"/>
    <w:rsid w:val="0026513F"/>
    <w:rsid w:val="00284FFA"/>
    <w:rsid w:val="00287A7C"/>
    <w:rsid w:val="00292720"/>
    <w:rsid w:val="002A0913"/>
    <w:rsid w:val="002A755F"/>
    <w:rsid w:val="002A7E06"/>
    <w:rsid w:val="002B2F9D"/>
    <w:rsid w:val="002B5C4C"/>
    <w:rsid w:val="002B6CC2"/>
    <w:rsid w:val="002B7B23"/>
    <w:rsid w:val="002C3D0F"/>
    <w:rsid w:val="002C51B0"/>
    <w:rsid w:val="002D240C"/>
    <w:rsid w:val="002E1952"/>
    <w:rsid w:val="002E2DC9"/>
    <w:rsid w:val="002E5BE6"/>
    <w:rsid w:val="002F3619"/>
    <w:rsid w:val="00300AF7"/>
    <w:rsid w:val="00303975"/>
    <w:rsid w:val="00303B4E"/>
    <w:rsid w:val="003119D7"/>
    <w:rsid w:val="00312C03"/>
    <w:rsid w:val="00312E54"/>
    <w:rsid w:val="00316436"/>
    <w:rsid w:val="00316B20"/>
    <w:rsid w:val="00316BF7"/>
    <w:rsid w:val="00320B91"/>
    <w:rsid w:val="0032189F"/>
    <w:rsid w:val="00326830"/>
    <w:rsid w:val="00337D19"/>
    <w:rsid w:val="00340A13"/>
    <w:rsid w:val="00341B19"/>
    <w:rsid w:val="00342E93"/>
    <w:rsid w:val="0034342A"/>
    <w:rsid w:val="00344FA8"/>
    <w:rsid w:val="00351F24"/>
    <w:rsid w:val="003538E8"/>
    <w:rsid w:val="0035541A"/>
    <w:rsid w:val="0037343F"/>
    <w:rsid w:val="0038035D"/>
    <w:rsid w:val="00383B5F"/>
    <w:rsid w:val="003A2C75"/>
    <w:rsid w:val="003A43D4"/>
    <w:rsid w:val="003A7B05"/>
    <w:rsid w:val="003B0B83"/>
    <w:rsid w:val="003B2789"/>
    <w:rsid w:val="003B3694"/>
    <w:rsid w:val="003B7D18"/>
    <w:rsid w:val="003C3919"/>
    <w:rsid w:val="003C4AF8"/>
    <w:rsid w:val="003D268A"/>
    <w:rsid w:val="003D4628"/>
    <w:rsid w:val="003D500A"/>
    <w:rsid w:val="003E28BA"/>
    <w:rsid w:val="003E42B4"/>
    <w:rsid w:val="003F117B"/>
    <w:rsid w:val="003F3431"/>
    <w:rsid w:val="004046BA"/>
    <w:rsid w:val="0041699A"/>
    <w:rsid w:val="0042401C"/>
    <w:rsid w:val="00425202"/>
    <w:rsid w:val="00430D19"/>
    <w:rsid w:val="004358AA"/>
    <w:rsid w:val="00435BE8"/>
    <w:rsid w:val="00436459"/>
    <w:rsid w:val="00441A93"/>
    <w:rsid w:val="00444B4E"/>
    <w:rsid w:val="00453343"/>
    <w:rsid w:val="004609D1"/>
    <w:rsid w:val="0046120B"/>
    <w:rsid w:val="0046409E"/>
    <w:rsid w:val="0046566B"/>
    <w:rsid w:val="00465E41"/>
    <w:rsid w:val="004718CD"/>
    <w:rsid w:val="00471DE6"/>
    <w:rsid w:val="00480EBE"/>
    <w:rsid w:val="0048579C"/>
    <w:rsid w:val="0049432D"/>
    <w:rsid w:val="004B4414"/>
    <w:rsid w:val="004C10F7"/>
    <w:rsid w:val="004C3B66"/>
    <w:rsid w:val="004D6E14"/>
    <w:rsid w:val="004E4ACB"/>
    <w:rsid w:val="004E69A1"/>
    <w:rsid w:val="004F689C"/>
    <w:rsid w:val="0050278E"/>
    <w:rsid w:val="00504F78"/>
    <w:rsid w:val="005121CA"/>
    <w:rsid w:val="005220E2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60F3B"/>
    <w:rsid w:val="00565906"/>
    <w:rsid w:val="00565952"/>
    <w:rsid w:val="00570160"/>
    <w:rsid w:val="005805F7"/>
    <w:rsid w:val="00581EA9"/>
    <w:rsid w:val="00591B22"/>
    <w:rsid w:val="005926FF"/>
    <w:rsid w:val="005B5E1A"/>
    <w:rsid w:val="005C0AD9"/>
    <w:rsid w:val="005F09F0"/>
    <w:rsid w:val="005F2A95"/>
    <w:rsid w:val="005F5F6C"/>
    <w:rsid w:val="006001FF"/>
    <w:rsid w:val="00607FD5"/>
    <w:rsid w:val="00610626"/>
    <w:rsid w:val="0061159E"/>
    <w:rsid w:val="00611A61"/>
    <w:rsid w:val="00615965"/>
    <w:rsid w:val="006221B9"/>
    <w:rsid w:val="006228CC"/>
    <w:rsid w:val="00623D26"/>
    <w:rsid w:val="00624205"/>
    <w:rsid w:val="00637579"/>
    <w:rsid w:val="00643299"/>
    <w:rsid w:val="00651C2B"/>
    <w:rsid w:val="00663337"/>
    <w:rsid w:val="00663935"/>
    <w:rsid w:val="00664DAB"/>
    <w:rsid w:val="00665644"/>
    <w:rsid w:val="00667EF5"/>
    <w:rsid w:val="00671662"/>
    <w:rsid w:val="0067411A"/>
    <w:rsid w:val="00676A27"/>
    <w:rsid w:val="006775EA"/>
    <w:rsid w:val="0068149C"/>
    <w:rsid w:val="00683B96"/>
    <w:rsid w:val="006858E2"/>
    <w:rsid w:val="00686235"/>
    <w:rsid w:val="006904C4"/>
    <w:rsid w:val="00691E0A"/>
    <w:rsid w:val="006943B5"/>
    <w:rsid w:val="00694FE7"/>
    <w:rsid w:val="00697CBA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20DB"/>
    <w:rsid w:val="006D3A19"/>
    <w:rsid w:val="006E7EF5"/>
    <w:rsid w:val="006F1206"/>
    <w:rsid w:val="006F2167"/>
    <w:rsid w:val="006F7960"/>
    <w:rsid w:val="007066D6"/>
    <w:rsid w:val="0071542C"/>
    <w:rsid w:val="00721CCA"/>
    <w:rsid w:val="00731529"/>
    <w:rsid w:val="007352E8"/>
    <w:rsid w:val="00740A64"/>
    <w:rsid w:val="00742373"/>
    <w:rsid w:val="00742982"/>
    <w:rsid w:val="00743153"/>
    <w:rsid w:val="00745727"/>
    <w:rsid w:val="007460F8"/>
    <w:rsid w:val="00750CF4"/>
    <w:rsid w:val="00751A10"/>
    <w:rsid w:val="00763F93"/>
    <w:rsid w:val="0076458C"/>
    <w:rsid w:val="0077053D"/>
    <w:rsid w:val="00774093"/>
    <w:rsid w:val="007809EA"/>
    <w:rsid w:val="00787A0D"/>
    <w:rsid w:val="0079049E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D4EEE"/>
    <w:rsid w:val="007E19FF"/>
    <w:rsid w:val="007E1F54"/>
    <w:rsid w:val="007F061B"/>
    <w:rsid w:val="007F10EE"/>
    <w:rsid w:val="0080178F"/>
    <w:rsid w:val="0080200B"/>
    <w:rsid w:val="0080585F"/>
    <w:rsid w:val="00807460"/>
    <w:rsid w:val="00807627"/>
    <w:rsid w:val="00811B48"/>
    <w:rsid w:val="00812573"/>
    <w:rsid w:val="00813266"/>
    <w:rsid w:val="00815C95"/>
    <w:rsid w:val="00831880"/>
    <w:rsid w:val="00834A67"/>
    <w:rsid w:val="0084301A"/>
    <w:rsid w:val="0085438E"/>
    <w:rsid w:val="00856EFD"/>
    <w:rsid w:val="00861C68"/>
    <w:rsid w:val="008622B2"/>
    <w:rsid w:val="0086612C"/>
    <w:rsid w:val="0087193D"/>
    <w:rsid w:val="00872866"/>
    <w:rsid w:val="00880990"/>
    <w:rsid w:val="00882CD4"/>
    <w:rsid w:val="00890F0D"/>
    <w:rsid w:val="00891F57"/>
    <w:rsid w:val="0089225F"/>
    <w:rsid w:val="0089229E"/>
    <w:rsid w:val="00893076"/>
    <w:rsid w:val="008A0902"/>
    <w:rsid w:val="008A4CC7"/>
    <w:rsid w:val="008A649D"/>
    <w:rsid w:val="008B29A1"/>
    <w:rsid w:val="008B3860"/>
    <w:rsid w:val="008B49AA"/>
    <w:rsid w:val="008D726D"/>
    <w:rsid w:val="008E5996"/>
    <w:rsid w:val="00903BC3"/>
    <w:rsid w:val="00906956"/>
    <w:rsid w:val="009114F6"/>
    <w:rsid w:val="009155F1"/>
    <w:rsid w:val="00915891"/>
    <w:rsid w:val="00924316"/>
    <w:rsid w:val="00924A2E"/>
    <w:rsid w:val="00935F3B"/>
    <w:rsid w:val="0093759E"/>
    <w:rsid w:val="0094090A"/>
    <w:rsid w:val="00944B88"/>
    <w:rsid w:val="00946E88"/>
    <w:rsid w:val="009477E6"/>
    <w:rsid w:val="00952D7C"/>
    <w:rsid w:val="00956A83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4A58"/>
    <w:rsid w:val="00984AD3"/>
    <w:rsid w:val="009923B2"/>
    <w:rsid w:val="0099335A"/>
    <w:rsid w:val="009A7C7A"/>
    <w:rsid w:val="009B13C7"/>
    <w:rsid w:val="009C1310"/>
    <w:rsid w:val="009C27C0"/>
    <w:rsid w:val="009C34FD"/>
    <w:rsid w:val="009D2037"/>
    <w:rsid w:val="009D2E2C"/>
    <w:rsid w:val="009D5DDD"/>
    <w:rsid w:val="009D6236"/>
    <w:rsid w:val="009D6D3F"/>
    <w:rsid w:val="009F033A"/>
    <w:rsid w:val="009F0A3B"/>
    <w:rsid w:val="009F2220"/>
    <w:rsid w:val="009F2920"/>
    <w:rsid w:val="009F66D2"/>
    <w:rsid w:val="00A135D5"/>
    <w:rsid w:val="00A16B94"/>
    <w:rsid w:val="00A2114B"/>
    <w:rsid w:val="00A2260E"/>
    <w:rsid w:val="00A234C3"/>
    <w:rsid w:val="00A23CDF"/>
    <w:rsid w:val="00A25A4D"/>
    <w:rsid w:val="00A3138C"/>
    <w:rsid w:val="00A31B06"/>
    <w:rsid w:val="00A3798E"/>
    <w:rsid w:val="00A4123A"/>
    <w:rsid w:val="00A45647"/>
    <w:rsid w:val="00A56E29"/>
    <w:rsid w:val="00A61483"/>
    <w:rsid w:val="00A62330"/>
    <w:rsid w:val="00A65988"/>
    <w:rsid w:val="00A6695B"/>
    <w:rsid w:val="00A67FDD"/>
    <w:rsid w:val="00A74E0E"/>
    <w:rsid w:val="00A7536B"/>
    <w:rsid w:val="00A75491"/>
    <w:rsid w:val="00A81D08"/>
    <w:rsid w:val="00A82849"/>
    <w:rsid w:val="00A84DF0"/>
    <w:rsid w:val="00A8667E"/>
    <w:rsid w:val="00A90DB9"/>
    <w:rsid w:val="00A9129E"/>
    <w:rsid w:val="00A91CD4"/>
    <w:rsid w:val="00A96582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D6035"/>
    <w:rsid w:val="00AE29B3"/>
    <w:rsid w:val="00AE39AA"/>
    <w:rsid w:val="00AE514B"/>
    <w:rsid w:val="00AF5E43"/>
    <w:rsid w:val="00B00002"/>
    <w:rsid w:val="00B01D44"/>
    <w:rsid w:val="00B077ED"/>
    <w:rsid w:val="00B121C8"/>
    <w:rsid w:val="00B16686"/>
    <w:rsid w:val="00B353DC"/>
    <w:rsid w:val="00B36C4B"/>
    <w:rsid w:val="00B43186"/>
    <w:rsid w:val="00B50A46"/>
    <w:rsid w:val="00B606E1"/>
    <w:rsid w:val="00B65F0A"/>
    <w:rsid w:val="00B7490B"/>
    <w:rsid w:val="00B778F8"/>
    <w:rsid w:val="00B77D7F"/>
    <w:rsid w:val="00B80B77"/>
    <w:rsid w:val="00B811C1"/>
    <w:rsid w:val="00B859FF"/>
    <w:rsid w:val="00B91BFE"/>
    <w:rsid w:val="00B91EC0"/>
    <w:rsid w:val="00B92EA6"/>
    <w:rsid w:val="00B95260"/>
    <w:rsid w:val="00B971AE"/>
    <w:rsid w:val="00B9736D"/>
    <w:rsid w:val="00BA6AED"/>
    <w:rsid w:val="00BB0A3B"/>
    <w:rsid w:val="00BB2938"/>
    <w:rsid w:val="00BB3927"/>
    <w:rsid w:val="00BB468E"/>
    <w:rsid w:val="00BC672F"/>
    <w:rsid w:val="00BC6BD3"/>
    <w:rsid w:val="00BD051E"/>
    <w:rsid w:val="00BD5661"/>
    <w:rsid w:val="00BE2D6A"/>
    <w:rsid w:val="00BF088E"/>
    <w:rsid w:val="00BF20FE"/>
    <w:rsid w:val="00BF60F0"/>
    <w:rsid w:val="00C032C3"/>
    <w:rsid w:val="00C0669C"/>
    <w:rsid w:val="00C11088"/>
    <w:rsid w:val="00C12446"/>
    <w:rsid w:val="00C2556C"/>
    <w:rsid w:val="00C2798D"/>
    <w:rsid w:val="00C302FE"/>
    <w:rsid w:val="00C306C6"/>
    <w:rsid w:val="00C32603"/>
    <w:rsid w:val="00C3766F"/>
    <w:rsid w:val="00C447AA"/>
    <w:rsid w:val="00C46050"/>
    <w:rsid w:val="00C46F0A"/>
    <w:rsid w:val="00C51F28"/>
    <w:rsid w:val="00C60F7A"/>
    <w:rsid w:val="00C626FF"/>
    <w:rsid w:val="00C634AF"/>
    <w:rsid w:val="00C66E7B"/>
    <w:rsid w:val="00C929E9"/>
    <w:rsid w:val="00C92B9E"/>
    <w:rsid w:val="00C93898"/>
    <w:rsid w:val="00C94B8E"/>
    <w:rsid w:val="00C950D1"/>
    <w:rsid w:val="00C9722F"/>
    <w:rsid w:val="00CB16F1"/>
    <w:rsid w:val="00CB490C"/>
    <w:rsid w:val="00CC401A"/>
    <w:rsid w:val="00CC5554"/>
    <w:rsid w:val="00CD1012"/>
    <w:rsid w:val="00CD1574"/>
    <w:rsid w:val="00CD6E5F"/>
    <w:rsid w:val="00CE0D1F"/>
    <w:rsid w:val="00CE1BDE"/>
    <w:rsid w:val="00CE3600"/>
    <w:rsid w:val="00CE7FF2"/>
    <w:rsid w:val="00CF662A"/>
    <w:rsid w:val="00D10AAB"/>
    <w:rsid w:val="00D129E4"/>
    <w:rsid w:val="00D15FDE"/>
    <w:rsid w:val="00D20B3A"/>
    <w:rsid w:val="00D23E62"/>
    <w:rsid w:val="00D26450"/>
    <w:rsid w:val="00D27075"/>
    <w:rsid w:val="00D27855"/>
    <w:rsid w:val="00D3380C"/>
    <w:rsid w:val="00D36064"/>
    <w:rsid w:val="00D36C7F"/>
    <w:rsid w:val="00D37D0C"/>
    <w:rsid w:val="00D41E24"/>
    <w:rsid w:val="00D452DE"/>
    <w:rsid w:val="00D60562"/>
    <w:rsid w:val="00D70473"/>
    <w:rsid w:val="00D7510F"/>
    <w:rsid w:val="00D75F27"/>
    <w:rsid w:val="00D777AF"/>
    <w:rsid w:val="00D8228F"/>
    <w:rsid w:val="00DA0170"/>
    <w:rsid w:val="00DA133A"/>
    <w:rsid w:val="00DC12F6"/>
    <w:rsid w:val="00DC70E1"/>
    <w:rsid w:val="00DD25DC"/>
    <w:rsid w:val="00DD5736"/>
    <w:rsid w:val="00DE05EA"/>
    <w:rsid w:val="00DE5B28"/>
    <w:rsid w:val="00E00365"/>
    <w:rsid w:val="00E029B2"/>
    <w:rsid w:val="00E04326"/>
    <w:rsid w:val="00E0519D"/>
    <w:rsid w:val="00E07C46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570D"/>
    <w:rsid w:val="00E46583"/>
    <w:rsid w:val="00E50971"/>
    <w:rsid w:val="00E52A60"/>
    <w:rsid w:val="00E54639"/>
    <w:rsid w:val="00E54923"/>
    <w:rsid w:val="00E6749F"/>
    <w:rsid w:val="00E73E62"/>
    <w:rsid w:val="00E74E68"/>
    <w:rsid w:val="00E84248"/>
    <w:rsid w:val="00E90628"/>
    <w:rsid w:val="00E93EDC"/>
    <w:rsid w:val="00E969D2"/>
    <w:rsid w:val="00EA07E6"/>
    <w:rsid w:val="00EA3CA0"/>
    <w:rsid w:val="00EA4815"/>
    <w:rsid w:val="00EA603F"/>
    <w:rsid w:val="00ED2BE1"/>
    <w:rsid w:val="00ED7C44"/>
    <w:rsid w:val="00F055F3"/>
    <w:rsid w:val="00F12923"/>
    <w:rsid w:val="00F16271"/>
    <w:rsid w:val="00F17EC7"/>
    <w:rsid w:val="00F31BB5"/>
    <w:rsid w:val="00F36051"/>
    <w:rsid w:val="00F43951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5A3"/>
    <w:rsid w:val="00FA0184"/>
    <w:rsid w:val="00FB10E7"/>
    <w:rsid w:val="00FB76ED"/>
    <w:rsid w:val="00FC6691"/>
    <w:rsid w:val="00FC7966"/>
    <w:rsid w:val="00FD7A04"/>
    <w:rsid w:val="00FE392F"/>
    <w:rsid w:val="00FE4767"/>
    <w:rsid w:val="00FF2410"/>
    <w:rsid w:val="00FF3D9C"/>
    <w:rsid w:val="060481E4"/>
    <w:rsid w:val="06FBCEED"/>
    <w:rsid w:val="0A94D213"/>
    <w:rsid w:val="0AC2A846"/>
    <w:rsid w:val="122C3EB9"/>
    <w:rsid w:val="15A4C200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  <w:rsid w:val="7951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269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teara.govt.nz/en/principles-of-the-treaty-of-waitangi-nga-matapono-o-te-tiriti-o-waitangi/page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oundwork.org.nz/resources/te-tiriti-articles-in-pract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601B9-A6BE-4BF9-ADE1-0E2DA538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purl.org/dc/terms/"/>
    <ds:schemaRef ds:uri="http://schemas.microsoft.com/office/2006/documentManagement/types"/>
    <ds:schemaRef ds:uri="http://purl.org/dc/dcmitype/"/>
    <ds:schemaRef ds:uri="ec761af5-23b3-453d-aa00-8620c42b1ab2"/>
    <ds:schemaRef ds:uri="http://purl.org/dc/elements/1.1/"/>
    <ds:schemaRef ds:uri="c7c66f8a-fd0d-4da3-b6ce-0241484f0de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6ede4f7-b24f-4e47-b52f-3b3ed06db11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3</revision>
  <lastPrinted>2023-05-01T02:03:00.0000000Z</lastPrinted>
  <dcterms:created xsi:type="dcterms:W3CDTF">2025-07-28T00:48:00.0000000Z</dcterms:created>
  <dcterms:modified xsi:type="dcterms:W3CDTF">2025-08-04T23:33:18.5587357Z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