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608FB47A" w:rsidR="007066D6" w:rsidRDefault="0096056F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8060" w:type="dxa"/>
          </w:tcPr>
          <w:p w14:paraId="512FDC1E" w14:textId="53204069" w:rsidR="007066D6" w:rsidRPr="004D6E14" w:rsidRDefault="009B371A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Apply knowledge of life, disability, and health insurance </w:t>
            </w:r>
            <w:r w:rsidR="00704138">
              <w:rPr>
                <w:rFonts w:ascii="Arial" w:hAnsi="Arial" w:cs="Arial"/>
                <w:b/>
                <w:bCs/>
                <w:color w:val="auto"/>
              </w:rPr>
              <w:t xml:space="preserve">regulatory framework, concepts, and approaches. 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5A0C4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695B3309" w:rsidR="004D6E14" w:rsidRPr="00676A27" w:rsidRDefault="00B0727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319AEFDB" w14:textId="77777777" w:rsidTr="005A0C4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365E2BF9" w:rsidR="004D6E14" w:rsidRPr="00676A27" w:rsidRDefault="0A94D21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6100460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005A0C4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4B8D" w14:textId="76639322" w:rsidR="009D1E05" w:rsidRDefault="009D1E05" w:rsidP="009D1E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purpose of this skill standard is for people who want to work as a financial adviser in the provision of </w:t>
            </w:r>
            <w:r w:rsidR="00A869D2">
              <w:rPr>
                <w:rFonts w:ascii="Arial" w:hAnsi="Arial" w:cs="Arial"/>
                <w:sz w:val="22"/>
                <w:szCs w:val="22"/>
              </w:rPr>
              <w:t>life, disability, and 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 insurance advice</w:t>
            </w:r>
            <w:r w:rsidR="00625D51">
              <w:rPr>
                <w:rFonts w:ascii="Arial" w:hAnsi="Arial" w:cs="Arial"/>
                <w:sz w:val="22"/>
                <w:szCs w:val="22"/>
              </w:rPr>
              <w:t xml:space="preserve"> services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178E197" w14:textId="60949B57" w:rsidR="00EC0B13" w:rsidRDefault="009D1E05" w:rsidP="00EC0B1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</w:t>
            </w:r>
            <w:r w:rsidR="00EC0B13">
              <w:rPr>
                <w:rFonts w:ascii="Arial" w:hAnsi="Arial" w:cs="Arial"/>
                <w:sz w:val="22"/>
                <w:szCs w:val="22"/>
              </w:rPr>
              <w:t xml:space="preserve">apply knowledge of life, disability, and health insurance regulatory framework, concepts, and approaches. </w:t>
            </w:r>
          </w:p>
          <w:p w14:paraId="326E3A3F" w14:textId="07717F12" w:rsidR="00B077ED" w:rsidRPr="00676A27" w:rsidRDefault="009D1E05" w:rsidP="00EC0B1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has been developed primarily for the assessment within programmes leading to the New Zealand Certificate in Financial Services (Level 5) with strand in </w:t>
            </w:r>
            <w:r w:rsidR="005B0E6F">
              <w:rPr>
                <w:rFonts w:ascii="Arial" w:hAnsi="Arial" w:cs="Arial"/>
                <w:sz w:val="22"/>
                <w:szCs w:val="22"/>
              </w:rPr>
              <w:t>Life, Disability, and Health Insurance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DF2366" w14:paraId="3D9920CC" w14:textId="77777777" w:rsidTr="00423E6D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0594291D" w:rsidR="00DF2366" w:rsidRPr="00222548" w:rsidRDefault="00DF2366" w:rsidP="005C44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</w:t>
            </w:r>
            <w:r w:rsidR="0008153E">
              <w:rPr>
                <w:rFonts w:ascii="Arial" w:hAnsi="Arial" w:cs="Arial"/>
                <w:sz w:val="22"/>
                <w:szCs w:val="22"/>
              </w:rPr>
              <w:t xml:space="preserve"> life, disability, and 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48F4">
              <w:rPr>
                <w:rFonts w:ascii="Arial" w:hAnsi="Arial" w:cs="Arial"/>
                <w:sz w:val="22"/>
                <w:szCs w:val="22"/>
              </w:rPr>
              <w:t xml:space="preserve">insurance </w:t>
            </w:r>
            <w:r>
              <w:rPr>
                <w:rFonts w:ascii="Arial" w:hAnsi="Arial" w:cs="Arial"/>
                <w:sz w:val="22"/>
                <w:szCs w:val="22"/>
              </w:rPr>
              <w:t xml:space="preserve">services with knowledge of </w:t>
            </w:r>
            <w:r w:rsidR="00B84E75">
              <w:rPr>
                <w:rFonts w:ascii="Arial" w:hAnsi="Arial" w:cs="Arial"/>
                <w:sz w:val="22"/>
                <w:szCs w:val="22"/>
              </w:rPr>
              <w:t xml:space="preserve">insurance </w:t>
            </w:r>
            <w:r>
              <w:rPr>
                <w:rFonts w:ascii="Arial" w:hAnsi="Arial" w:cs="Arial"/>
                <w:sz w:val="22"/>
                <w:szCs w:val="22"/>
              </w:rPr>
              <w:t xml:space="preserve">concepts, regulatory framework, and key participants and roles. 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73124564" w:rsidR="00DF2366" w:rsidRPr="00444B4E" w:rsidRDefault="00DF2366" w:rsidP="005C44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Explain steps taken to ensure client understands </w:t>
            </w:r>
            <w:r w:rsidR="00125CEB">
              <w:rPr>
                <w:rFonts w:ascii="Arial" w:hAnsi="Arial" w:cs="Arial"/>
                <w:sz w:val="22"/>
                <w:szCs w:val="22"/>
              </w:rPr>
              <w:t>insurance</w:t>
            </w:r>
            <w:r>
              <w:rPr>
                <w:rFonts w:ascii="Arial" w:hAnsi="Arial" w:cs="Arial"/>
                <w:sz w:val="22"/>
                <w:szCs w:val="22"/>
              </w:rPr>
              <w:t xml:space="preserve"> advice process. </w:t>
            </w:r>
          </w:p>
        </w:tc>
      </w:tr>
      <w:tr w:rsidR="00194C27" w14:paraId="72B1DDE6" w14:textId="77777777" w:rsidTr="00423E6D">
        <w:trPr>
          <w:cantSplit/>
          <w:trHeight w:val="276"/>
          <w:tblHeader/>
        </w:trPr>
        <w:tc>
          <w:tcPr>
            <w:tcW w:w="4627" w:type="dxa"/>
            <w:vMerge/>
          </w:tcPr>
          <w:p w14:paraId="3DA092A7" w14:textId="77777777" w:rsidR="00194C27" w:rsidRDefault="00194C27" w:rsidP="005C44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426E1D0" w14:textId="6DA753BC" w:rsidR="00194C27" w:rsidRDefault="00194C27" w:rsidP="005C44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knowledge of the regulatory framework</w:t>
            </w:r>
            <w:r w:rsidR="00520FF1">
              <w:rPr>
                <w:rFonts w:ascii="Arial" w:hAnsi="Arial" w:cs="Arial"/>
                <w:sz w:val="22"/>
                <w:szCs w:val="22"/>
              </w:rPr>
              <w:t>, insurance principles and concepts</w:t>
            </w:r>
            <w:r>
              <w:rPr>
                <w:rFonts w:ascii="Arial" w:hAnsi="Arial" w:cs="Arial"/>
                <w:sz w:val="22"/>
                <w:szCs w:val="22"/>
              </w:rPr>
              <w:t xml:space="preserve"> when providing insurance services.</w:t>
            </w:r>
          </w:p>
        </w:tc>
      </w:tr>
      <w:tr w:rsidR="00DF2366" w14:paraId="245B00F6" w14:textId="77777777" w:rsidTr="00423E6D">
        <w:trPr>
          <w:cantSplit/>
          <w:trHeight w:val="276"/>
          <w:tblHeader/>
        </w:trPr>
        <w:tc>
          <w:tcPr>
            <w:tcW w:w="4627" w:type="dxa"/>
            <w:vMerge/>
          </w:tcPr>
          <w:p w14:paraId="131455DB" w14:textId="77777777" w:rsidR="00DF2366" w:rsidRPr="00222548" w:rsidRDefault="00DF2366" w:rsidP="005C44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6164" w14:textId="47444C02" w:rsidR="00DF2366" w:rsidRPr="00A2621D" w:rsidRDefault="003F4AF6" w:rsidP="005C44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knowledge of key </w:t>
            </w:r>
            <w:r w:rsidR="00320974">
              <w:rPr>
                <w:rFonts w:ascii="Arial" w:hAnsi="Arial" w:cs="Arial"/>
                <w:sz w:val="22"/>
                <w:szCs w:val="22"/>
              </w:rPr>
              <w:t xml:space="preserve">participants and roles in insurance </w:t>
            </w:r>
            <w:r w:rsidR="00C17C21">
              <w:rPr>
                <w:rFonts w:ascii="Arial" w:hAnsi="Arial" w:cs="Arial"/>
                <w:sz w:val="22"/>
                <w:szCs w:val="22"/>
              </w:rPr>
              <w:t xml:space="preserve">organisations. </w:t>
            </w:r>
          </w:p>
        </w:tc>
      </w:tr>
      <w:tr w:rsidR="00DF2366" w14:paraId="61EF122A" w14:textId="77777777" w:rsidTr="00423E6D">
        <w:trPr>
          <w:cantSplit/>
          <w:trHeight w:val="276"/>
          <w:tblHeader/>
        </w:trPr>
        <w:tc>
          <w:tcPr>
            <w:tcW w:w="4627" w:type="dxa"/>
            <w:vMerge/>
          </w:tcPr>
          <w:p w14:paraId="5240A9B8" w14:textId="77777777" w:rsidR="00DF2366" w:rsidRPr="00222548" w:rsidRDefault="00DF2366" w:rsidP="005C44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535" w14:textId="21003B6C" w:rsidR="00DF2366" w:rsidRPr="00A2621D" w:rsidRDefault="003F4AF6" w:rsidP="005C445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client information, interactions, analysis, and recommendations.</w:t>
            </w:r>
          </w:p>
        </w:tc>
      </w:tr>
      <w:tr w:rsidR="003D55A0" w14:paraId="5A9D34AE" w14:textId="77777777" w:rsidTr="00444B4E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C9BBD7" w14:textId="69CC90E1" w:rsidR="003D55A0" w:rsidRPr="00222548" w:rsidRDefault="003D55A0" w:rsidP="005C44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risk management and approaches to </w:t>
            </w:r>
            <w:r w:rsidR="00AF4A49">
              <w:rPr>
                <w:rFonts w:ascii="Arial" w:hAnsi="Arial" w:cs="Arial"/>
                <w:sz w:val="22"/>
                <w:szCs w:val="22"/>
              </w:rPr>
              <w:t xml:space="preserve">life, disability, and health </w:t>
            </w:r>
            <w:r>
              <w:rPr>
                <w:rFonts w:ascii="Arial" w:hAnsi="Arial" w:cs="Arial"/>
                <w:sz w:val="22"/>
                <w:szCs w:val="22"/>
              </w:rPr>
              <w:t>insurance situations</w:t>
            </w:r>
            <w:r w:rsidR="0089679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179" w14:textId="34910AF4" w:rsidR="003D55A0" w:rsidRPr="005C2BBD" w:rsidRDefault="003D55A0" w:rsidP="002754A1">
            <w:pPr>
              <w:spacing w:line="240" w:lineRule="auto"/>
              <w:ind w:left="364" w:hanging="3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  Describe types of risk and the relevance of insurance products to those risks</w:t>
            </w:r>
            <w:r w:rsidR="009B2AE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3D55A0" w14:paraId="68168910" w14:textId="77777777" w:rsidTr="00CB480F">
        <w:trPr>
          <w:cantSplit/>
          <w:trHeight w:val="276"/>
          <w:tblHeader/>
        </w:trPr>
        <w:tc>
          <w:tcPr>
            <w:tcW w:w="4627" w:type="dxa"/>
            <w:vMerge/>
            <w:tcBorders>
              <w:right w:val="single" w:sz="4" w:space="0" w:color="auto"/>
            </w:tcBorders>
          </w:tcPr>
          <w:p w14:paraId="23EE57DE" w14:textId="77777777" w:rsidR="003D55A0" w:rsidRDefault="003D55A0" w:rsidP="005C44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572" w14:textId="3CB9FC5F" w:rsidR="003D55A0" w:rsidRDefault="00EC674A" w:rsidP="00FF53B5">
            <w:pPr>
              <w:spacing w:line="240" w:lineRule="auto"/>
              <w:ind w:left="364" w:hanging="3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D01F4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F53B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30CDE" w:rsidRPr="00430CDE">
              <w:rPr>
                <w:rFonts w:ascii="Arial" w:hAnsi="Arial" w:cs="Arial"/>
                <w:sz w:val="22"/>
                <w:szCs w:val="22"/>
              </w:rPr>
              <w:t>Evaluate exposures to risk in terms of probability of risk, and potential severity and impact of risk consequences.</w:t>
            </w:r>
            <w:r w:rsidR="006437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D55A0" w14:paraId="07B41157" w14:textId="77777777" w:rsidTr="00CB480F">
        <w:trPr>
          <w:cantSplit/>
          <w:trHeight w:val="276"/>
          <w:tblHeader/>
        </w:trPr>
        <w:tc>
          <w:tcPr>
            <w:tcW w:w="4627" w:type="dxa"/>
            <w:vMerge/>
            <w:tcBorders>
              <w:right w:val="single" w:sz="4" w:space="0" w:color="auto"/>
            </w:tcBorders>
          </w:tcPr>
          <w:p w14:paraId="02BF7582" w14:textId="77777777" w:rsidR="003D55A0" w:rsidRDefault="003D55A0" w:rsidP="005C44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48B" w14:textId="779087A9" w:rsidR="003D55A0" w:rsidRDefault="00EC674A" w:rsidP="00FF53B5">
            <w:pPr>
              <w:spacing w:line="240" w:lineRule="auto"/>
              <w:ind w:left="364" w:hanging="3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430CD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F53B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30CDE" w:rsidRPr="00430CDE">
              <w:rPr>
                <w:rFonts w:ascii="Arial" w:hAnsi="Arial" w:cs="Arial"/>
                <w:sz w:val="22"/>
                <w:szCs w:val="22"/>
              </w:rPr>
              <w:t>Apply risk management approaches to insurance situations.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44544E4E" w14:textId="77777777" w:rsidR="0005031F" w:rsidRDefault="0005031F" w:rsidP="0005031F">
      <w:pPr>
        <w:spacing w:line="240" w:lineRule="auto"/>
        <w:rPr>
          <w:rFonts w:ascii="Arial" w:hAnsi="Arial" w:cs="Arial"/>
          <w:sz w:val="22"/>
          <w:szCs w:val="22"/>
        </w:rPr>
      </w:pPr>
      <w:r w:rsidRPr="005B622A">
        <w:rPr>
          <w:rFonts w:ascii="Arial" w:hAnsi="Arial" w:cs="Arial"/>
          <w:sz w:val="22"/>
          <w:szCs w:val="22"/>
        </w:rPr>
        <w:lastRenderedPageBreak/>
        <w:t>Assessment should use real or realistic documentation where appropriate. Simulated examples are permitted.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4CEA23" w14:textId="77777777" w:rsidR="0005031F" w:rsidRDefault="0005031F" w:rsidP="0005031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4408F">
        <w:rPr>
          <w:rFonts w:ascii="Arial" w:hAnsi="Arial" w:cs="Arial"/>
          <w:sz w:val="22"/>
          <w:szCs w:val="22"/>
        </w:rPr>
        <w:t>earners are not expected to use tools and systems that are only available if they are available to a licenced financial advice provider or having a licence to use.</w:t>
      </w:r>
    </w:p>
    <w:p w14:paraId="2EBF3ED2" w14:textId="77777777" w:rsidR="0005031F" w:rsidRPr="004C55EC" w:rsidRDefault="0005031F" w:rsidP="0005031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B62F5">
        <w:rPr>
          <w:rFonts w:ascii="Arial" w:hAnsi="Arial" w:cs="Arial"/>
          <w:sz w:val="22"/>
          <w:szCs w:val="22"/>
        </w:rPr>
        <w:t>ny use of digital advice tools or artificial intelligence will need to be used in accordance with relevant organisational and industry codes of conduct and practice.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904F52" w14:textId="77777777" w:rsidR="0005031F" w:rsidRDefault="0005031F" w:rsidP="0005031F">
      <w:pPr>
        <w:spacing w:line="240" w:lineRule="auto"/>
        <w:rPr>
          <w:rFonts w:ascii="Arial" w:hAnsi="Arial" w:cs="Arial"/>
          <w:sz w:val="22"/>
          <w:szCs w:val="22"/>
        </w:rPr>
      </w:pPr>
      <w:r w:rsidRPr="00543BF9">
        <w:rPr>
          <w:rFonts w:ascii="Arial" w:hAnsi="Arial" w:cs="Arial"/>
          <w:sz w:val="22"/>
          <w:szCs w:val="22"/>
        </w:rPr>
        <w:t>All activities must comply with legislation, regulations, and best practice, including any guidance notes published by the agency responsible for the relevant enactment or code.</w:t>
      </w:r>
    </w:p>
    <w:p w14:paraId="65DC7130" w14:textId="65D4311E" w:rsidR="00F54827" w:rsidRDefault="00F54827" w:rsidP="00F5482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</w:t>
      </w:r>
      <w:r w:rsidRPr="004D1896">
        <w:rPr>
          <w:rFonts w:ascii="Arial" w:hAnsi="Arial" w:cs="Arial"/>
          <w:i/>
          <w:iCs/>
          <w:sz w:val="22"/>
          <w:szCs w:val="22"/>
        </w:rPr>
        <w:t>lient</w:t>
      </w:r>
      <w:r>
        <w:rPr>
          <w:rFonts w:ascii="Arial" w:hAnsi="Arial" w:cs="Arial"/>
          <w:sz w:val="22"/>
          <w:szCs w:val="22"/>
        </w:rPr>
        <w:t xml:space="preserve"> also includes potential clients. Clients</w:t>
      </w:r>
      <w:r w:rsidR="006B7E6B">
        <w:rPr>
          <w:rFonts w:ascii="Arial" w:hAnsi="Arial" w:cs="Arial"/>
          <w:sz w:val="22"/>
          <w:szCs w:val="22"/>
        </w:rPr>
        <w:t xml:space="preserve"> may</w:t>
      </w:r>
      <w:r>
        <w:rPr>
          <w:rFonts w:ascii="Arial" w:hAnsi="Arial" w:cs="Arial"/>
          <w:sz w:val="22"/>
          <w:szCs w:val="22"/>
        </w:rPr>
        <w:t xml:space="preserve"> include Trust, business, individual or a purchaser of insurance. </w:t>
      </w:r>
    </w:p>
    <w:p w14:paraId="1DDFE362" w14:textId="77777777" w:rsidR="006B7E6B" w:rsidRPr="00836D34" w:rsidRDefault="006B7E6B" w:rsidP="006B7E6B">
      <w:pPr>
        <w:spacing w:line="240" w:lineRule="auto"/>
        <w:rPr>
          <w:rFonts w:ascii="Arial" w:hAnsi="Arial" w:cs="Arial"/>
          <w:sz w:val="22"/>
          <w:szCs w:val="22"/>
        </w:rPr>
      </w:pPr>
      <w:r w:rsidRPr="00836D34">
        <w:rPr>
          <w:rFonts w:ascii="Arial" w:hAnsi="Arial" w:cs="Arial"/>
          <w:i/>
          <w:iCs/>
          <w:sz w:val="22"/>
          <w:szCs w:val="22"/>
        </w:rPr>
        <w:t xml:space="preserve">Client </w:t>
      </w:r>
      <w:r w:rsidRPr="00836D34">
        <w:rPr>
          <w:rFonts w:ascii="Arial" w:hAnsi="Arial" w:cs="Arial"/>
          <w:sz w:val="22"/>
          <w:szCs w:val="22"/>
        </w:rPr>
        <w:t>is intentionally broad to capture all types and include, individuals, partnerships, businesses, families, companies, trusts, charities, organisations, body corporates, and associations as current examples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41BEE1" w14:textId="77777777" w:rsidR="00F54827" w:rsidRDefault="00F54827" w:rsidP="00DC70E1">
      <w:pPr>
        <w:spacing w:line="240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49525274" w14:textId="5E965B8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5751F58A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1D6B17F6" w14:textId="77777777" w:rsidR="0055230F" w:rsidRDefault="0055230F" w:rsidP="00DC70E1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6758BEB" w14:textId="0C93CEA4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401D21BF" w14:textId="570BB439" w:rsidR="0055230F" w:rsidRDefault="0055230F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Steps taken to ensure client understands insurance advice process. </w:t>
      </w:r>
    </w:p>
    <w:p w14:paraId="158038F3" w14:textId="59F37E54" w:rsidR="00492989" w:rsidRPr="005A0C43" w:rsidRDefault="00492989" w:rsidP="005A0C43">
      <w:pPr>
        <w:pStyle w:val="ListParagraph"/>
        <w:numPr>
          <w:ilvl w:val="0"/>
          <w:numId w:val="12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helping client understand the process </w:t>
      </w:r>
      <w:r w:rsidR="00D278DB">
        <w:rPr>
          <w:rFonts w:ascii="Arial" w:hAnsi="Arial" w:cs="Arial"/>
          <w:color w:val="000000" w:themeColor="text1"/>
          <w:sz w:val="22"/>
          <w:szCs w:val="22"/>
        </w:rPr>
        <w:t>that is taken</w:t>
      </w:r>
      <w:r w:rsidR="00755A2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9A5B0F0" w14:textId="1C244D49" w:rsidR="00B406D4" w:rsidRDefault="002931F1" w:rsidP="00B406D4">
      <w:pPr>
        <w:spacing w:line="240" w:lineRule="auto"/>
        <w:rPr>
          <w:rFonts w:ascii="Arial" w:hAnsi="Arial" w:cs="Arial"/>
          <w:sz w:val="22"/>
          <w:szCs w:val="22"/>
        </w:rPr>
      </w:pPr>
      <w:r w:rsidRPr="00B406D4">
        <w:rPr>
          <w:rFonts w:ascii="Arial" w:hAnsi="Arial" w:cs="Arial"/>
          <w:sz w:val="22"/>
          <w:szCs w:val="22"/>
        </w:rPr>
        <w:t xml:space="preserve">Regulatory framework as they apply to financial services and the provision of </w:t>
      </w:r>
      <w:r w:rsidR="009F4747">
        <w:rPr>
          <w:rFonts w:ascii="Arial" w:hAnsi="Arial" w:cs="Arial"/>
          <w:sz w:val="22"/>
          <w:szCs w:val="22"/>
        </w:rPr>
        <w:t xml:space="preserve">life, disability, and health </w:t>
      </w:r>
      <w:r w:rsidR="00B406D4" w:rsidRPr="00B406D4">
        <w:rPr>
          <w:rFonts w:ascii="Arial" w:hAnsi="Arial" w:cs="Arial"/>
          <w:sz w:val="22"/>
          <w:szCs w:val="22"/>
        </w:rPr>
        <w:t>insurance</w:t>
      </w:r>
      <w:r w:rsidR="00127C79">
        <w:rPr>
          <w:rFonts w:ascii="Arial" w:hAnsi="Arial" w:cs="Arial"/>
          <w:sz w:val="22"/>
          <w:szCs w:val="22"/>
        </w:rPr>
        <w:t xml:space="preserve"> advice </w:t>
      </w:r>
      <w:r w:rsidR="00B406D4" w:rsidRPr="00B406D4">
        <w:rPr>
          <w:rFonts w:ascii="Arial" w:hAnsi="Arial" w:cs="Arial"/>
          <w:sz w:val="22"/>
          <w:szCs w:val="22"/>
        </w:rPr>
        <w:t xml:space="preserve"> </w:t>
      </w:r>
    </w:p>
    <w:p w14:paraId="7BF114ED" w14:textId="6279119D" w:rsidR="002931F1" w:rsidRPr="00B406D4" w:rsidRDefault="002931F1" w:rsidP="005A0C43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B406D4">
        <w:rPr>
          <w:rFonts w:ascii="Arial" w:hAnsi="Arial" w:cs="Arial"/>
          <w:sz w:val="22"/>
          <w:szCs w:val="22"/>
        </w:rPr>
        <w:t>legislation</w:t>
      </w:r>
    </w:p>
    <w:p w14:paraId="6ABCB15F" w14:textId="77777777" w:rsidR="002931F1" w:rsidRDefault="002931F1" w:rsidP="005A0C43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regulations</w:t>
      </w:r>
    </w:p>
    <w:p w14:paraId="63ED6B4B" w14:textId="77777777" w:rsidR="002931F1" w:rsidRDefault="002931F1" w:rsidP="005A0C43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codes of conduct and/or practice. </w:t>
      </w:r>
    </w:p>
    <w:p w14:paraId="64E33BDA" w14:textId="6DB1D701" w:rsidR="00B077ED" w:rsidRDefault="001852E2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Insurance principles and concepts</w:t>
      </w:r>
    </w:p>
    <w:p w14:paraId="46994E66" w14:textId="37BA0D70" w:rsidR="000403E6" w:rsidRPr="000403E6" w:rsidRDefault="000403E6" w:rsidP="005A0C43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0403E6">
        <w:rPr>
          <w:rFonts w:ascii="Arial" w:hAnsi="Arial" w:cs="Arial"/>
          <w:sz w:val="22"/>
          <w:szCs w:val="22"/>
        </w:rPr>
        <w:t>risk transferral through insurance</w:t>
      </w:r>
    </w:p>
    <w:p w14:paraId="4F5914C6" w14:textId="2B3B3B09" w:rsidR="000403E6" w:rsidRPr="000403E6" w:rsidRDefault="000403E6" w:rsidP="005A0C43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0403E6">
        <w:rPr>
          <w:rFonts w:ascii="Arial" w:hAnsi="Arial" w:cs="Arial"/>
          <w:sz w:val="22"/>
          <w:szCs w:val="22"/>
        </w:rPr>
        <w:t>compensation not enrichment</w:t>
      </w:r>
    </w:p>
    <w:p w14:paraId="72EE7DC3" w14:textId="3F71E511" w:rsidR="000403E6" w:rsidRPr="000403E6" w:rsidRDefault="000403E6" w:rsidP="005A0C43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0403E6">
        <w:rPr>
          <w:rFonts w:ascii="Arial" w:hAnsi="Arial" w:cs="Arial"/>
          <w:sz w:val="22"/>
          <w:szCs w:val="22"/>
        </w:rPr>
        <w:t>reinsurance</w:t>
      </w:r>
    </w:p>
    <w:p w14:paraId="459F4148" w14:textId="099847D1" w:rsidR="000403E6" w:rsidRPr="000403E6" w:rsidRDefault="000403E6" w:rsidP="005A0C43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0403E6">
        <w:rPr>
          <w:rFonts w:ascii="Arial" w:hAnsi="Arial" w:cs="Arial"/>
          <w:sz w:val="22"/>
          <w:szCs w:val="22"/>
        </w:rPr>
        <w:t>correct policy ownership</w:t>
      </w:r>
    </w:p>
    <w:p w14:paraId="331BE0C6" w14:textId="40DC0701" w:rsidR="001852E2" w:rsidRDefault="000403E6" w:rsidP="005A0C43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0403E6">
        <w:rPr>
          <w:rFonts w:ascii="Arial" w:hAnsi="Arial" w:cs="Arial"/>
          <w:sz w:val="22"/>
          <w:szCs w:val="22"/>
        </w:rPr>
        <w:t>tax implication</w:t>
      </w:r>
      <w:r w:rsidR="004D6949">
        <w:rPr>
          <w:rFonts w:ascii="Arial" w:hAnsi="Arial" w:cs="Arial"/>
          <w:sz w:val="22"/>
          <w:szCs w:val="22"/>
        </w:rPr>
        <w:t xml:space="preserve">. </w:t>
      </w:r>
    </w:p>
    <w:p w14:paraId="2740097D" w14:textId="458C7321" w:rsidR="00896797" w:rsidRDefault="00896797" w:rsidP="0089679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96797">
        <w:rPr>
          <w:rFonts w:ascii="Arial" w:hAnsi="Arial" w:cs="Arial"/>
          <w:color w:val="000000" w:themeColor="text1"/>
          <w:sz w:val="22"/>
          <w:szCs w:val="22"/>
        </w:rPr>
        <w:t>Key participants and roles</w:t>
      </w:r>
      <w:r w:rsidR="007311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2870377" w14:textId="77777777" w:rsidR="002A0FD4" w:rsidRDefault="002A0FD4" w:rsidP="005A0C43">
      <w:pPr>
        <w:pStyle w:val="ListParagraph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client</w:t>
      </w:r>
    </w:p>
    <w:p w14:paraId="44B6BCA6" w14:textId="35AC76DD" w:rsidR="002A0FD4" w:rsidRDefault="008A40DD" w:rsidP="005A0C43">
      <w:pPr>
        <w:pStyle w:val="ListParagraph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financial advisors</w:t>
      </w:r>
      <w:r w:rsidR="003338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338B9">
        <w:rPr>
          <w:rFonts w:ascii="Arial" w:hAnsi="Arial" w:cs="Arial"/>
          <w:color w:val="000000" w:themeColor="text1"/>
          <w:sz w:val="22"/>
          <w:szCs w:val="22"/>
        </w:rPr>
        <w:t>ie</w:t>
      </w:r>
      <w:proofErr w:type="spellEnd"/>
      <w:r w:rsidR="003338B9">
        <w:rPr>
          <w:rFonts w:ascii="Arial" w:hAnsi="Arial" w:cs="Arial"/>
          <w:color w:val="000000" w:themeColor="text1"/>
          <w:sz w:val="22"/>
          <w:szCs w:val="22"/>
        </w:rPr>
        <w:t xml:space="preserve">: intermediaries  </w:t>
      </w:r>
    </w:p>
    <w:p w14:paraId="06C9C1BA" w14:textId="77777777" w:rsidR="00640951" w:rsidRDefault="002A0FD4" w:rsidP="005A0C43">
      <w:pPr>
        <w:pStyle w:val="ListParagraph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insurance product providers</w:t>
      </w:r>
    </w:p>
    <w:p w14:paraId="1C2DD2E8" w14:textId="77777777" w:rsidR="003F222E" w:rsidRDefault="00640951" w:rsidP="005A0C43">
      <w:pPr>
        <w:pStyle w:val="ListParagraph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regulators</w:t>
      </w:r>
    </w:p>
    <w:p w14:paraId="2F684FE0" w14:textId="4C7C67E3" w:rsidR="00731101" w:rsidRPr="00731101" w:rsidRDefault="003F222E" w:rsidP="005A0C43">
      <w:pPr>
        <w:pStyle w:val="ListParagraph"/>
        <w:numPr>
          <w:ilvl w:val="0"/>
          <w:numId w:val="7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dispute resolution services</w:t>
      </w:r>
      <w:r w:rsidR="002A0FD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311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96221FC" w14:textId="1399EA36" w:rsidR="00D27896" w:rsidRDefault="00731101" w:rsidP="00D27896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Types of risk</w:t>
      </w:r>
    </w:p>
    <w:p w14:paraId="48E4B4DD" w14:textId="77777777" w:rsidR="00731101" w:rsidRPr="00731101" w:rsidRDefault="00731101" w:rsidP="005A0C43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731101">
        <w:rPr>
          <w:rFonts w:ascii="Arial" w:hAnsi="Arial" w:cs="Arial"/>
          <w:sz w:val="22"/>
          <w:szCs w:val="22"/>
        </w:rPr>
        <w:t>pure risk</w:t>
      </w:r>
    </w:p>
    <w:p w14:paraId="10B933FD" w14:textId="77777777" w:rsidR="00731101" w:rsidRPr="00731101" w:rsidRDefault="00731101" w:rsidP="005A0C43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731101">
        <w:rPr>
          <w:rFonts w:ascii="Arial" w:hAnsi="Arial" w:cs="Arial"/>
          <w:sz w:val="22"/>
          <w:szCs w:val="22"/>
        </w:rPr>
        <w:t>speculative risk</w:t>
      </w:r>
    </w:p>
    <w:p w14:paraId="261563F7" w14:textId="2C0C303A" w:rsidR="00731101" w:rsidRDefault="00731101" w:rsidP="005A0C43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731101">
        <w:rPr>
          <w:rFonts w:ascii="Arial" w:hAnsi="Arial" w:cs="Arial"/>
          <w:sz w:val="22"/>
          <w:szCs w:val="22"/>
        </w:rPr>
        <w:t>insurable risk.</w:t>
      </w:r>
    </w:p>
    <w:p w14:paraId="25FE78FE" w14:textId="75C73A97" w:rsidR="00731101" w:rsidRDefault="000E0812" w:rsidP="0073110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Exposures</w:t>
      </w:r>
    </w:p>
    <w:p w14:paraId="272D3068" w14:textId="1D7453C6" w:rsidR="000E0812" w:rsidRPr="000E0812" w:rsidRDefault="000E0812" w:rsidP="005A0C43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0E0812">
        <w:rPr>
          <w:rFonts w:ascii="Arial" w:hAnsi="Arial" w:cs="Arial"/>
          <w:sz w:val="22"/>
          <w:szCs w:val="22"/>
        </w:rPr>
        <w:t>direct losses</w:t>
      </w:r>
    </w:p>
    <w:p w14:paraId="179399D7" w14:textId="47512440" w:rsidR="000E0812" w:rsidRPr="000E0812" w:rsidRDefault="000E0812" w:rsidP="005A0C43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0E0812">
        <w:rPr>
          <w:rFonts w:ascii="Arial" w:hAnsi="Arial" w:cs="Arial"/>
          <w:sz w:val="22"/>
          <w:szCs w:val="22"/>
        </w:rPr>
        <w:t>consequential losses</w:t>
      </w:r>
    </w:p>
    <w:p w14:paraId="13EBF1CE" w14:textId="3353A8A7" w:rsidR="000E0812" w:rsidRDefault="000E0812" w:rsidP="005A0C43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0E0812">
        <w:rPr>
          <w:rFonts w:ascii="Arial" w:hAnsi="Arial" w:cs="Arial"/>
          <w:sz w:val="22"/>
          <w:szCs w:val="22"/>
        </w:rPr>
        <w:lastRenderedPageBreak/>
        <w:t xml:space="preserve">hidden losses. </w:t>
      </w:r>
    </w:p>
    <w:p w14:paraId="6640C41D" w14:textId="2F7F59CC" w:rsidR="00543BAB" w:rsidRPr="00543BAB" w:rsidRDefault="00637CA6" w:rsidP="00543BAB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management approaches</w:t>
      </w:r>
      <w:r w:rsidR="00545ED4">
        <w:rPr>
          <w:rFonts w:ascii="Arial" w:hAnsi="Arial" w:cs="Arial"/>
          <w:sz w:val="22"/>
          <w:szCs w:val="22"/>
        </w:rPr>
        <w:t xml:space="preserve"> </w:t>
      </w:r>
    </w:p>
    <w:p w14:paraId="6FFBA667" w14:textId="1A03675E" w:rsidR="00637CA6" w:rsidRPr="00637CA6" w:rsidRDefault="00543BAB" w:rsidP="005A0C43">
      <w:pPr>
        <w:pStyle w:val="ListParagraph"/>
        <w:numPr>
          <w:ilvl w:val="0"/>
          <w:numId w:val="9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37CA6">
        <w:rPr>
          <w:rFonts w:ascii="Arial" w:hAnsi="Arial" w:cs="Arial"/>
          <w:sz w:val="22"/>
          <w:szCs w:val="22"/>
        </w:rPr>
        <w:t>identification</w:t>
      </w:r>
    </w:p>
    <w:p w14:paraId="3CCE71D1" w14:textId="70C382B4" w:rsidR="00637CA6" w:rsidRPr="00637CA6" w:rsidRDefault="00543BAB" w:rsidP="005A0C43">
      <w:pPr>
        <w:pStyle w:val="ListParagraph"/>
        <w:numPr>
          <w:ilvl w:val="0"/>
          <w:numId w:val="9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37CA6">
        <w:rPr>
          <w:rFonts w:ascii="Arial" w:hAnsi="Arial" w:cs="Arial"/>
          <w:sz w:val="22"/>
          <w:szCs w:val="22"/>
        </w:rPr>
        <w:t>avoidance</w:t>
      </w:r>
    </w:p>
    <w:p w14:paraId="77DF1652" w14:textId="35899A04" w:rsidR="00637CA6" w:rsidRPr="00637CA6" w:rsidRDefault="00543BAB" w:rsidP="005A0C43">
      <w:pPr>
        <w:pStyle w:val="ListParagraph"/>
        <w:numPr>
          <w:ilvl w:val="0"/>
          <w:numId w:val="9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37CA6">
        <w:rPr>
          <w:rFonts w:ascii="Arial" w:hAnsi="Arial" w:cs="Arial"/>
          <w:sz w:val="22"/>
          <w:szCs w:val="22"/>
        </w:rPr>
        <w:t>mitigation</w:t>
      </w:r>
    </w:p>
    <w:p w14:paraId="6C65B20F" w14:textId="19233BB4" w:rsidR="00637CA6" w:rsidRPr="00637CA6" w:rsidRDefault="00543BAB" w:rsidP="005A0C43">
      <w:pPr>
        <w:pStyle w:val="ListParagraph"/>
        <w:numPr>
          <w:ilvl w:val="0"/>
          <w:numId w:val="9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37CA6">
        <w:rPr>
          <w:rFonts w:ascii="Arial" w:hAnsi="Arial" w:cs="Arial"/>
          <w:sz w:val="22"/>
          <w:szCs w:val="22"/>
        </w:rPr>
        <w:t>financing</w:t>
      </w:r>
    </w:p>
    <w:p w14:paraId="30412985" w14:textId="77B61AAA" w:rsidR="00637CA6" w:rsidRPr="00637CA6" w:rsidRDefault="00543BAB" w:rsidP="005A0C43">
      <w:pPr>
        <w:pStyle w:val="ListParagraph"/>
        <w:numPr>
          <w:ilvl w:val="0"/>
          <w:numId w:val="9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37CA6">
        <w:rPr>
          <w:rFonts w:ascii="Arial" w:hAnsi="Arial" w:cs="Arial"/>
          <w:sz w:val="22"/>
          <w:szCs w:val="22"/>
        </w:rPr>
        <w:t>acceptanc</w:t>
      </w:r>
      <w:r w:rsidR="00637CA6">
        <w:rPr>
          <w:rFonts w:ascii="Arial" w:hAnsi="Arial" w:cs="Arial"/>
          <w:sz w:val="22"/>
          <w:szCs w:val="22"/>
        </w:rPr>
        <w:t>e</w:t>
      </w:r>
      <w:r w:rsidRPr="00637CA6">
        <w:rPr>
          <w:rFonts w:ascii="Arial" w:hAnsi="Arial" w:cs="Arial"/>
          <w:sz w:val="22"/>
          <w:szCs w:val="22"/>
        </w:rPr>
        <w:t xml:space="preserve"> </w:t>
      </w:r>
    </w:p>
    <w:p w14:paraId="4332F074" w14:textId="146CE2B0" w:rsidR="000E0812" w:rsidRDefault="00543BAB" w:rsidP="005A0C43">
      <w:pPr>
        <w:pStyle w:val="ListParagraph"/>
        <w:numPr>
          <w:ilvl w:val="0"/>
          <w:numId w:val="9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637CA6">
        <w:rPr>
          <w:rFonts w:ascii="Arial" w:hAnsi="Arial" w:cs="Arial"/>
          <w:sz w:val="22"/>
          <w:szCs w:val="22"/>
        </w:rPr>
        <w:t>transfer.</w:t>
      </w:r>
    </w:p>
    <w:p w14:paraId="029EB615" w14:textId="77777777" w:rsidR="00637CA6" w:rsidRPr="00637CA6" w:rsidRDefault="00637CA6" w:rsidP="00637CA6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233C65DB" w14:textId="020CB638" w:rsidR="00F9413D" w:rsidRPr="006D2897" w:rsidRDefault="00F9413D" w:rsidP="005A0C43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Pr="00EB77AF">
          <w:rPr>
            <w:rStyle w:val="Hyperlink"/>
            <w:rFonts w:ascii="Arial" w:hAnsi="Arial" w:cs="Arial"/>
            <w:sz w:val="22"/>
            <w:szCs w:val="22"/>
          </w:rPr>
          <w:t>Code of Professional Conduct for Financial Advice Services</w:t>
        </w:r>
      </w:hyperlink>
    </w:p>
    <w:p w14:paraId="5F1C58F3" w14:textId="09435E0E" w:rsidR="00F9413D" w:rsidRDefault="00F9413D" w:rsidP="005A0C43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Consumer Guarantees Act 1993</w:t>
      </w:r>
    </w:p>
    <w:p w14:paraId="72258553" w14:textId="77777777" w:rsidR="00625D51" w:rsidRPr="005F3721" w:rsidRDefault="00625D51" w:rsidP="00625D51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Style w:val="Hyperlink"/>
          <w:rFonts w:ascii="Arial" w:hAnsi="Arial" w:cs="Arial"/>
          <w:sz w:val="22"/>
          <w:szCs w:val="22"/>
        </w:rPr>
      </w:pPr>
      <w:r w:rsidRPr="00505834">
        <w:rPr>
          <w:rFonts w:ascii="Arial" w:hAnsi="Arial" w:cs="Arial"/>
          <w:color w:val="000000" w:themeColor="text1"/>
          <w:sz w:val="22"/>
          <w:szCs w:val="22"/>
        </w:rPr>
        <w:t xml:space="preserve">Customer vulnerability and expectations for providers - </w:t>
      </w:r>
      <w:hyperlink r:id="rId12" w:history="1">
        <w:r w:rsidRPr="005F3721">
          <w:rPr>
            <w:rStyle w:val="Hyperlink"/>
            <w:rFonts w:ascii="Arial" w:hAnsi="Arial" w:cs="Arial"/>
            <w:sz w:val="22"/>
            <w:szCs w:val="22"/>
          </w:rPr>
          <w:t>CustomerVulnerability-ourexpectationsforproviders.pdf (fma.govt.nz)</w:t>
        </w:r>
      </w:hyperlink>
      <w:r w:rsidRPr="005F3721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5D8D4CAD" w14:textId="485715FD" w:rsidR="00F9413D" w:rsidRDefault="00F9413D" w:rsidP="00625D51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 xml:space="preserve">Fair </w:t>
      </w:r>
      <w:r w:rsidR="000C5133">
        <w:rPr>
          <w:rFonts w:ascii="Arial" w:hAnsi="Arial" w:cs="Arial"/>
          <w:color w:val="000000"/>
          <w:sz w:val="22"/>
          <w:szCs w:val="22"/>
        </w:rPr>
        <w:t xml:space="preserve">Insurance Code </w:t>
      </w:r>
      <w:r w:rsidR="00637D99">
        <w:rPr>
          <w:rFonts w:ascii="Arial" w:hAnsi="Arial" w:cs="Arial"/>
          <w:color w:val="000000"/>
          <w:sz w:val="22"/>
          <w:szCs w:val="22"/>
        </w:rPr>
        <w:t>2016</w:t>
      </w:r>
    </w:p>
    <w:p w14:paraId="04B66138" w14:textId="4E487068" w:rsidR="004D0B8E" w:rsidRDefault="004D0B8E" w:rsidP="00625D51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Fair Trading Act </w:t>
      </w:r>
      <w:r w:rsidR="003F3343">
        <w:rPr>
          <w:rFonts w:ascii="Arial" w:hAnsi="Arial" w:cs="Arial"/>
          <w:color w:val="000000"/>
          <w:sz w:val="22"/>
          <w:szCs w:val="22"/>
        </w:rPr>
        <w:t>1986</w:t>
      </w:r>
    </w:p>
    <w:p w14:paraId="6A698B30" w14:textId="77777777" w:rsidR="00625D51" w:rsidRPr="0066760C" w:rsidRDefault="00625D51" w:rsidP="00625D51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426"/>
        <w:rPr>
          <w:rStyle w:val="Hyperlink"/>
          <w:rFonts w:ascii="Arial" w:hAnsi="Arial" w:cs="Arial"/>
          <w:kern w:val="28"/>
          <w:sz w:val="22"/>
          <w:szCs w:val="22"/>
          <w14:ligatures w14:val="standard"/>
          <w14:cntxtAlts/>
        </w:rPr>
      </w:pPr>
      <w:hyperlink r:id="rId13" w:history="1">
        <w:r w:rsidRPr="00377608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 xml:space="preserve">Financial Markets Authority - Developing cyber resilience for financial advice providers </w:t>
        </w:r>
        <w:r w:rsidRPr="0066760C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>(July 2024)</w:t>
        </w:r>
      </w:hyperlink>
    </w:p>
    <w:p w14:paraId="7302784A" w14:textId="77777777" w:rsidR="00996FF1" w:rsidRPr="007F1FBE" w:rsidRDefault="00996FF1" w:rsidP="005A0C43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Financial Markets Authority- </w:t>
      </w:r>
      <w:hyperlink r:id="rId14" w:history="1">
        <w:r w:rsidRPr="007F1FBE">
          <w:rPr>
            <w:rStyle w:val="Hyperlink"/>
            <w:rFonts w:ascii="Arial" w:hAnsi="Arial" w:cs="Arial"/>
            <w:sz w:val="22"/>
            <w:szCs w:val="22"/>
          </w:rPr>
          <w:t>Understanding Artificial Intelligence in Financial Services (July 2024)</w:t>
        </w:r>
      </w:hyperlink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 by Mikayla </w:t>
      </w:r>
      <w:proofErr w:type="spellStart"/>
      <w:r w:rsidRPr="007F1FBE">
        <w:rPr>
          <w:rFonts w:ascii="Arial" w:hAnsi="Arial" w:cs="Arial"/>
          <w:color w:val="000000" w:themeColor="text1"/>
          <w:sz w:val="22"/>
          <w:szCs w:val="22"/>
        </w:rPr>
        <w:t>Pakinga</w:t>
      </w:r>
      <w:proofErr w:type="spellEnd"/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-Lawson, Amie White, Stuart Johnson  </w:t>
      </w:r>
    </w:p>
    <w:p w14:paraId="77CCCA31" w14:textId="36A82589" w:rsidR="004D0B8E" w:rsidRDefault="004D0B8E" w:rsidP="005A0C43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Financial Markets Conduct Act </w:t>
      </w:r>
      <w:r w:rsidR="003F3343">
        <w:rPr>
          <w:rFonts w:ascii="Arial" w:hAnsi="Arial" w:cs="Arial"/>
          <w:color w:val="000000"/>
          <w:sz w:val="22"/>
          <w:szCs w:val="22"/>
        </w:rPr>
        <w:t xml:space="preserve">2013 </w:t>
      </w:r>
    </w:p>
    <w:p w14:paraId="0808A442" w14:textId="77777777" w:rsidR="005C4451" w:rsidRPr="006D2897" w:rsidRDefault="005C4451" w:rsidP="005A0C43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Financial Services Legislation Amendment Act 2019 </w:t>
      </w:r>
    </w:p>
    <w:p w14:paraId="464D8436" w14:textId="2956A289" w:rsidR="00191341" w:rsidRDefault="00191341" w:rsidP="005A0C43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Financial Services Providers </w:t>
      </w:r>
      <w:r w:rsidR="001B6381">
        <w:rPr>
          <w:rFonts w:ascii="Arial" w:hAnsi="Arial" w:cs="Arial"/>
          <w:color w:val="000000"/>
          <w:sz w:val="22"/>
          <w:szCs w:val="22"/>
        </w:rPr>
        <w:t>(Registration and Dispute Resolution</w:t>
      </w:r>
      <w:r w:rsidR="005C4451">
        <w:rPr>
          <w:rFonts w:ascii="Arial" w:hAnsi="Arial" w:cs="Arial"/>
          <w:color w:val="000000"/>
          <w:sz w:val="22"/>
          <w:szCs w:val="22"/>
        </w:rPr>
        <w:t>)</w:t>
      </w:r>
      <w:r w:rsidR="001B6381">
        <w:rPr>
          <w:rFonts w:ascii="Arial" w:hAnsi="Arial" w:cs="Arial"/>
          <w:color w:val="000000"/>
          <w:sz w:val="22"/>
          <w:szCs w:val="22"/>
        </w:rPr>
        <w:t xml:space="preserve"> Act</w:t>
      </w:r>
      <w:r w:rsidR="005C4451">
        <w:rPr>
          <w:rFonts w:ascii="Arial" w:hAnsi="Arial" w:cs="Arial"/>
          <w:color w:val="000000"/>
          <w:sz w:val="22"/>
          <w:szCs w:val="22"/>
        </w:rPr>
        <w:t xml:space="preserve"> 2008</w:t>
      </w:r>
    </w:p>
    <w:p w14:paraId="0EE82800" w14:textId="18ACC952" w:rsidR="00B45669" w:rsidRPr="006D2897" w:rsidRDefault="00B45669" w:rsidP="005A0C43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Health and Safety at Work Act 2015</w:t>
      </w:r>
    </w:p>
    <w:p w14:paraId="3C07283D" w14:textId="4FF37409" w:rsidR="00D70C50" w:rsidRDefault="00D70C50" w:rsidP="005A0C43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Insurance </w:t>
      </w:r>
      <w:r w:rsidR="00A47BC0">
        <w:rPr>
          <w:rFonts w:ascii="Arial" w:hAnsi="Arial" w:cs="Arial"/>
          <w:color w:val="000000"/>
          <w:sz w:val="22"/>
          <w:szCs w:val="22"/>
        </w:rPr>
        <w:t xml:space="preserve">Intermediaries Act </w:t>
      </w:r>
      <w:r w:rsidR="00C343B6">
        <w:rPr>
          <w:rFonts w:ascii="Arial" w:hAnsi="Arial" w:cs="Arial"/>
          <w:color w:val="000000"/>
          <w:sz w:val="22"/>
          <w:szCs w:val="22"/>
        </w:rPr>
        <w:t>1994</w:t>
      </w:r>
    </w:p>
    <w:p w14:paraId="2EE36471" w14:textId="6F496729" w:rsidR="00C343B6" w:rsidRDefault="00C343B6" w:rsidP="005A0C43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Insurance </w:t>
      </w:r>
      <w:r w:rsidR="00637D99">
        <w:rPr>
          <w:rFonts w:ascii="Arial" w:hAnsi="Arial" w:cs="Arial"/>
          <w:color w:val="000000"/>
          <w:sz w:val="22"/>
          <w:szCs w:val="22"/>
        </w:rPr>
        <w:t>Law Reform Act 1977</w:t>
      </w:r>
    </w:p>
    <w:p w14:paraId="303902F9" w14:textId="6D3EDD52" w:rsidR="00637D99" w:rsidRPr="006D2897" w:rsidRDefault="00637D99" w:rsidP="005A0C43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Insurance Law Reform Act 1988 </w:t>
      </w:r>
    </w:p>
    <w:p w14:paraId="6F6C61BC" w14:textId="77777777" w:rsidR="00F9413D" w:rsidRDefault="00F9413D" w:rsidP="005A0C43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Privacy Act 2020</w:t>
      </w:r>
    </w:p>
    <w:p w14:paraId="088E4A95" w14:textId="3512B2B3" w:rsidR="0042055B" w:rsidRPr="005A0C43" w:rsidRDefault="00F9413D" w:rsidP="005A0C43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426"/>
        <w:rPr>
          <w:rFonts w:ascii="Arial" w:hAnsi="Arial" w:cs="Arial"/>
          <w:sz w:val="22"/>
          <w:szCs w:val="22"/>
        </w:rPr>
      </w:pPr>
      <w:r w:rsidRPr="0097438B">
        <w:rPr>
          <w:rFonts w:ascii="Arial" w:hAnsi="Arial" w:cs="Arial"/>
          <w:color w:val="000000"/>
          <w:sz w:val="22"/>
          <w:szCs w:val="22"/>
        </w:rPr>
        <w:t>Relevant industry codes of conduct</w:t>
      </w:r>
    </w:p>
    <w:p w14:paraId="43234BFB" w14:textId="77777777" w:rsidR="0042055B" w:rsidRPr="005A0C43" w:rsidRDefault="0042055B">
      <w:pPr>
        <w:pStyle w:val="ListParagraph"/>
        <w:numPr>
          <w:ilvl w:val="0"/>
          <w:numId w:val="10"/>
        </w:numPr>
        <w:tabs>
          <w:tab w:val="left" w:pos="2805"/>
        </w:tabs>
        <w:spacing w:after="0"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681C4C">
        <w:rPr>
          <w:rFonts w:ascii="Arial" w:hAnsi="Arial" w:cs="Arial"/>
          <w:color w:val="000000" w:themeColor="text1"/>
          <w:sz w:val="22"/>
          <w:szCs w:val="22"/>
        </w:rPr>
        <w:t xml:space="preserve">Six Step Process - </w:t>
      </w:r>
      <w:r w:rsidRPr="00681C4C">
        <w:rPr>
          <w:rFonts w:ascii="Arial" w:eastAsiaTheme="minorEastAsia" w:hAnsi="Arial" w:cs="Arial"/>
          <w:spacing w:val="-5"/>
          <w:kern w:val="24"/>
          <w:sz w:val="21"/>
          <w:szCs w:val="21"/>
          <w:lang w:eastAsia="en-US"/>
        </w:rPr>
        <w:t xml:space="preserve">ISO 22222:2005 Personal Financial Planning – Requirements for personal financial planners, available from </w:t>
      </w:r>
      <w:hyperlink r:id="rId15" w:history="1">
        <w:r w:rsidRPr="00681C4C">
          <w:rPr>
            <w:rStyle w:val="Hyperlink"/>
            <w:rFonts w:ascii="Arial" w:eastAsiaTheme="minorEastAsia" w:hAnsi="Arial" w:cs="Arial"/>
            <w:spacing w:val="-5"/>
            <w:kern w:val="24"/>
            <w:sz w:val="21"/>
            <w:szCs w:val="21"/>
            <w:lang w:eastAsia="en-US"/>
          </w:rPr>
          <w:t>https://www.iso.org</w:t>
        </w:r>
      </w:hyperlink>
      <w:r w:rsidRPr="00681C4C">
        <w:rPr>
          <w:rFonts w:ascii="Arial" w:eastAsiaTheme="minorEastAsia" w:hAnsi="Arial" w:cs="Arial"/>
          <w:spacing w:val="-5"/>
          <w:kern w:val="24"/>
          <w:sz w:val="21"/>
          <w:szCs w:val="21"/>
          <w:lang w:eastAsia="en-US"/>
        </w:rPr>
        <w:t xml:space="preserve">  </w:t>
      </w:r>
    </w:p>
    <w:p w14:paraId="2E498ED2" w14:textId="18E07A6C" w:rsidR="00433769" w:rsidRPr="005A0C43" w:rsidRDefault="00433769" w:rsidP="005A0C43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7438B">
        <w:rPr>
          <w:rFonts w:ascii="Arial" w:hAnsi="Arial" w:cs="Arial"/>
          <w:color w:val="000000"/>
          <w:sz w:val="22"/>
          <w:szCs w:val="22"/>
        </w:rPr>
        <w:t>Relevant industry codes of conduct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56F8DF23" w14:textId="77777777" w:rsidR="00433769" w:rsidRPr="005A0C43" w:rsidRDefault="00433769" w:rsidP="005A0C43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426"/>
        <w:rPr>
          <w:color w:val="000000"/>
        </w:rPr>
      </w:pPr>
      <w:r w:rsidRPr="005A0C43">
        <w:rPr>
          <w:color w:val="000000"/>
        </w:rPr>
        <w:t xml:space="preserve">and </w:t>
      </w:r>
      <w:r w:rsidRPr="005A0C43">
        <w:rPr>
          <w:rFonts w:ascii="Arial" w:hAnsi="Arial" w:cs="Arial"/>
          <w:color w:val="000000"/>
          <w:sz w:val="22"/>
          <w:szCs w:val="22"/>
        </w:rPr>
        <w:t xml:space="preserve">their subsequent amendments or replacements. </w:t>
      </w:r>
    </w:p>
    <w:p w14:paraId="3B1EC023" w14:textId="77777777" w:rsidR="005C4451" w:rsidRPr="00433769" w:rsidRDefault="005C4451" w:rsidP="00433769">
      <w:pPr>
        <w:pStyle w:val="NormalWeb"/>
        <w:spacing w:before="0" w:beforeAutospacing="0" w:after="0" w:afterAutospacing="0"/>
        <w:ind w:left="142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7D67767C" w:rsidR="00D70473" w:rsidRPr="002205DA" w:rsidRDefault="007E46B1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49A4974" w:rsidR="00D70473" w:rsidRPr="004046BA" w:rsidRDefault="003A099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Sector&gt; Financial Services&gt; Professional Practice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5F247CF6" w:rsidR="0053752C" w:rsidRPr="004046BA" w:rsidRDefault="003A703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0003 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9E22D25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RPr="004046BA" w14:paraId="2242355E" w14:textId="77777777" w:rsidTr="00DC70E1">
        <w:trPr>
          <w:cantSplit/>
        </w:trPr>
        <w:tc>
          <w:tcPr>
            <w:tcW w:w="3055" w:type="dxa"/>
          </w:tcPr>
          <w:p w14:paraId="75E0BC1A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14:paraId="499D1CD1" w14:textId="14EAB5F7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2B676301" w14:textId="2AD80A6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384DF87A" w14:textId="577DE5AA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15DACB4D" w:rsidR="00D70473" w:rsidRPr="004046BA" w:rsidRDefault="0005031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replaces unit standards 31865</w:t>
            </w:r>
            <w:r w:rsidR="004D694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70D54988" w:rsidR="00D70473" w:rsidRPr="004046BA" w:rsidRDefault="00741D9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2029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D1CAA07" w14:textId="72BA425C" w:rsidR="000F0C52" w:rsidRPr="00C302FE" w:rsidRDefault="00C302FE" w:rsidP="000F0C52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0F0C52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0F0C52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6" w:history="1">
        <w:r w:rsidR="000F0C52" w:rsidRPr="00144DB2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0F0C52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="000F0C52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p w14:paraId="20E4A90A" w14:textId="5FB3B57E" w:rsidR="0008628A" w:rsidRPr="00C302FE" w:rsidRDefault="0008628A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08628A" w:rsidRPr="00C302FE" w:rsidSect="007066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2FF75" w14:textId="77777777" w:rsidR="002320D2" w:rsidRDefault="002320D2" w:rsidP="000E4D2B">
      <w:pPr>
        <w:spacing w:after="0" w:line="240" w:lineRule="auto"/>
      </w:pPr>
      <w:r>
        <w:separator/>
      </w:r>
    </w:p>
  </w:endnote>
  <w:endnote w:type="continuationSeparator" w:id="0">
    <w:p w14:paraId="35877ECD" w14:textId="77777777" w:rsidR="002320D2" w:rsidRDefault="002320D2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F5DB3" w14:textId="77777777" w:rsidR="00F86824" w:rsidRDefault="00F86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549672CF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6B7E6B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3610" w14:textId="77777777" w:rsidR="00F86824" w:rsidRDefault="00F86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EE964" w14:textId="77777777" w:rsidR="002320D2" w:rsidRDefault="002320D2" w:rsidP="000E4D2B">
      <w:pPr>
        <w:spacing w:after="0" w:line="240" w:lineRule="auto"/>
      </w:pPr>
      <w:r>
        <w:separator/>
      </w:r>
    </w:p>
  </w:footnote>
  <w:footnote w:type="continuationSeparator" w:id="0">
    <w:p w14:paraId="62614423" w14:textId="77777777" w:rsidR="002320D2" w:rsidRDefault="002320D2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674A" w14:textId="77777777" w:rsidR="00F86824" w:rsidRDefault="00F86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2511293"/>
      <w:docPartObj>
        <w:docPartGallery w:val="Watermarks"/>
        <w:docPartUnique/>
      </w:docPartObj>
    </w:sdtPr>
    <w:sdtEndPr/>
    <w:sdtContent>
      <w:p w14:paraId="1F365D34" w14:textId="4B55F93A" w:rsidR="007066D6" w:rsidRDefault="006B7E6B">
        <w:pPr>
          <w:pStyle w:val="Header"/>
        </w:pPr>
        <w:r>
          <w:rPr>
            <w:noProof/>
          </w:rPr>
          <w:pict w14:anchorId="3061CC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212048" o:spid="_x0000_s1025" type="#_x0000_t136" style="position:absolute;margin-left:0;margin-top:0;width:541.05pt;height:162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sultation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FC60C" w14:textId="77777777" w:rsidR="00F86824" w:rsidRDefault="00F86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40A30"/>
    <w:multiLevelType w:val="hybridMultilevel"/>
    <w:tmpl w:val="FB56C7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491D"/>
    <w:multiLevelType w:val="hybridMultilevel"/>
    <w:tmpl w:val="3E1657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35DB"/>
    <w:multiLevelType w:val="hybridMultilevel"/>
    <w:tmpl w:val="986AA0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D4077"/>
    <w:multiLevelType w:val="hybridMultilevel"/>
    <w:tmpl w:val="C21E7D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71D98"/>
    <w:multiLevelType w:val="hybridMultilevel"/>
    <w:tmpl w:val="3334CB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27CB9"/>
    <w:multiLevelType w:val="hybridMultilevel"/>
    <w:tmpl w:val="3500A2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43147"/>
    <w:multiLevelType w:val="hybridMultilevel"/>
    <w:tmpl w:val="37042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822F4"/>
    <w:multiLevelType w:val="hybridMultilevel"/>
    <w:tmpl w:val="59FA41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964CB"/>
    <w:multiLevelType w:val="hybridMultilevel"/>
    <w:tmpl w:val="2AF699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FC13C1"/>
    <w:multiLevelType w:val="hybridMultilevel"/>
    <w:tmpl w:val="CE6809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47946128">
    <w:abstractNumId w:val="0"/>
  </w:num>
  <w:num w:numId="2" w16cid:durableId="939338842">
    <w:abstractNumId w:val="10"/>
  </w:num>
  <w:num w:numId="3" w16cid:durableId="1097793809">
    <w:abstractNumId w:val="12"/>
  </w:num>
  <w:num w:numId="4" w16cid:durableId="1553078880">
    <w:abstractNumId w:val="11"/>
  </w:num>
  <w:num w:numId="5" w16cid:durableId="233051374">
    <w:abstractNumId w:val="2"/>
  </w:num>
  <w:num w:numId="6" w16cid:durableId="1979603095">
    <w:abstractNumId w:val="8"/>
  </w:num>
  <w:num w:numId="7" w16cid:durableId="1408766084">
    <w:abstractNumId w:val="6"/>
  </w:num>
  <w:num w:numId="8" w16cid:durableId="935408800">
    <w:abstractNumId w:val="4"/>
  </w:num>
  <w:num w:numId="9" w16cid:durableId="759064530">
    <w:abstractNumId w:val="3"/>
  </w:num>
  <w:num w:numId="10" w16cid:durableId="111680702">
    <w:abstractNumId w:val="7"/>
  </w:num>
  <w:num w:numId="11" w16cid:durableId="320549984">
    <w:abstractNumId w:val="1"/>
  </w:num>
  <w:num w:numId="12" w16cid:durableId="1508783766">
    <w:abstractNumId w:val="9"/>
  </w:num>
  <w:num w:numId="13" w16cid:durableId="161501408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231B5"/>
    <w:rsid w:val="00030C56"/>
    <w:rsid w:val="00033356"/>
    <w:rsid w:val="000403E6"/>
    <w:rsid w:val="00044F83"/>
    <w:rsid w:val="00046FFC"/>
    <w:rsid w:val="0005031F"/>
    <w:rsid w:val="00057C7D"/>
    <w:rsid w:val="00070812"/>
    <w:rsid w:val="0007306D"/>
    <w:rsid w:val="0008153E"/>
    <w:rsid w:val="00085BF7"/>
    <w:rsid w:val="0008628A"/>
    <w:rsid w:val="000904D1"/>
    <w:rsid w:val="000920E3"/>
    <w:rsid w:val="000932F5"/>
    <w:rsid w:val="0009388B"/>
    <w:rsid w:val="000941C7"/>
    <w:rsid w:val="000A01B4"/>
    <w:rsid w:val="000A5CBF"/>
    <w:rsid w:val="000A755F"/>
    <w:rsid w:val="000B2B46"/>
    <w:rsid w:val="000B3054"/>
    <w:rsid w:val="000B5689"/>
    <w:rsid w:val="000C415B"/>
    <w:rsid w:val="000C5133"/>
    <w:rsid w:val="000C7321"/>
    <w:rsid w:val="000D1A7E"/>
    <w:rsid w:val="000D7AF5"/>
    <w:rsid w:val="000E0812"/>
    <w:rsid w:val="000E4D2B"/>
    <w:rsid w:val="000E5A36"/>
    <w:rsid w:val="000F0C52"/>
    <w:rsid w:val="00101F1B"/>
    <w:rsid w:val="00102389"/>
    <w:rsid w:val="00104E74"/>
    <w:rsid w:val="001061EF"/>
    <w:rsid w:val="0010736E"/>
    <w:rsid w:val="00110689"/>
    <w:rsid w:val="00125CEB"/>
    <w:rsid w:val="00127C79"/>
    <w:rsid w:val="001323FA"/>
    <w:rsid w:val="00132D3B"/>
    <w:rsid w:val="00133EE5"/>
    <w:rsid w:val="00143C2A"/>
    <w:rsid w:val="00146D62"/>
    <w:rsid w:val="001516A8"/>
    <w:rsid w:val="0015191A"/>
    <w:rsid w:val="00160821"/>
    <w:rsid w:val="001709E9"/>
    <w:rsid w:val="00170D99"/>
    <w:rsid w:val="00180BE0"/>
    <w:rsid w:val="001852E2"/>
    <w:rsid w:val="00191341"/>
    <w:rsid w:val="00194C27"/>
    <w:rsid w:val="001A1A7D"/>
    <w:rsid w:val="001B0110"/>
    <w:rsid w:val="001B3C76"/>
    <w:rsid w:val="001B6381"/>
    <w:rsid w:val="001C0074"/>
    <w:rsid w:val="001C52D8"/>
    <w:rsid w:val="001C547E"/>
    <w:rsid w:val="001D66E8"/>
    <w:rsid w:val="001F7651"/>
    <w:rsid w:val="00205924"/>
    <w:rsid w:val="0020717C"/>
    <w:rsid w:val="00212F48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0D2"/>
    <w:rsid w:val="00232403"/>
    <w:rsid w:val="00233581"/>
    <w:rsid w:val="002410A6"/>
    <w:rsid w:val="00246866"/>
    <w:rsid w:val="0025519D"/>
    <w:rsid w:val="00255560"/>
    <w:rsid w:val="00255C11"/>
    <w:rsid w:val="00255F06"/>
    <w:rsid w:val="00256F75"/>
    <w:rsid w:val="002579E2"/>
    <w:rsid w:val="002636A4"/>
    <w:rsid w:val="0026513F"/>
    <w:rsid w:val="002754A1"/>
    <w:rsid w:val="00275B06"/>
    <w:rsid w:val="00287A7C"/>
    <w:rsid w:val="002931F1"/>
    <w:rsid w:val="002A0FD4"/>
    <w:rsid w:val="002A4EBC"/>
    <w:rsid w:val="002A755F"/>
    <w:rsid w:val="002A7E06"/>
    <w:rsid w:val="002B5C4C"/>
    <w:rsid w:val="002B7B23"/>
    <w:rsid w:val="002C28A8"/>
    <w:rsid w:val="002C3D0F"/>
    <w:rsid w:val="002D240C"/>
    <w:rsid w:val="002D4CAA"/>
    <w:rsid w:val="002D51C8"/>
    <w:rsid w:val="002D6CCC"/>
    <w:rsid w:val="002E1280"/>
    <w:rsid w:val="002E2DC9"/>
    <w:rsid w:val="002E5BE6"/>
    <w:rsid w:val="00300AF7"/>
    <w:rsid w:val="00303975"/>
    <w:rsid w:val="00303B4E"/>
    <w:rsid w:val="00305932"/>
    <w:rsid w:val="00312E54"/>
    <w:rsid w:val="00316436"/>
    <w:rsid w:val="0031657D"/>
    <w:rsid w:val="00320974"/>
    <w:rsid w:val="00320B91"/>
    <w:rsid w:val="003338B9"/>
    <w:rsid w:val="00337D19"/>
    <w:rsid w:val="00340A13"/>
    <w:rsid w:val="00341B19"/>
    <w:rsid w:val="00342E93"/>
    <w:rsid w:val="0034342A"/>
    <w:rsid w:val="00345944"/>
    <w:rsid w:val="00351862"/>
    <w:rsid w:val="0035541A"/>
    <w:rsid w:val="00370A3E"/>
    <w:rsid w:val="0037343F"/>
    <w:rsid w:val="0038035D"/>
    <w:rsid w:val="00397DDB"/>
    <w:rsid w:val="00397EB8"/>
    <w:rsid w:val="003A099B"/>
    <w:rsid w:val="003A2C75"/>
    <w:rsid w:val="003A43D4"/>
    <w:rsid w:val="003A703F"/>
    <w:rsid w:val="003B0B83"/>
    <w:rsid w:val="003B2789"/>
    <w:rsid w:val="003B3694"/>
    <w:rsid w:val="003B7A8E"/>
    <w:rsid w:val="003B7D18"/>
    <w:rsid w:val="003C4AF8"/>
    <w:rsid w:val="003D4628"/>
    <w:rsid w:val="003D55A0"/>
    <w:rsid w:val="003D767E"/>
    <w:rsid w:val="003E28BA"/>
    <w:rsid w:val="003E408F"/>
    <w:rsid w:val="003E42B4"/>
    <w:rsid w:val="003E4C51"/>
    <w:rsid w:val="003E7E1E"/>
    <w:rsid w:val="003F117B"/>
    <w:rsid w:val="003F15BE"/>
    <w:rsid w:val="003F222E"/>
    <w:rsid w:val="003F3343"/>
    <w:rsid w:val="003F4AF6"/>
    <w:rsid w:val="004046BA"/>
    <w:rsid w:val="00412EFF"/>
    <w:rsid w:val="0041699A"/>
    <w:rsid w:val="0042055B"/>
    <w:rsid w:val="00423FCD"/>
    <w:rsid w:val="0042401C"/>
    <w:rsid w:val="00425202"/>
    <w:rsid w:val="00430CDE"/>
    <w:rsid w:val="00430D19"/>
    <w:rsid w:val="00432B8B"/>
    <w:rsid w:val="00433769"/>
    <w:rsid w:val="004358AA"/>
    <w:rsid w:val="00436459"/>
    <w:rsid w:val="00441A93"/>
    <w:rsid w:val="00444B4E"/>
    <w:rsid w:val="00453343"/>
    <w:rsid w:val="004609D1"/>
    <w:rsid w:val="0046566B"/>
    <w:rsid w:val="00465E41"/>
    <w:rsid w:val="00480ABB"/>
    <w:rsid w:val="00480EBE"/>
    <w:rsid w:val="0048579C"/>
    <w:rsid w:val="00485D47"/>
    <w:rsid w:val="00486D54"/>
    <w:rsid w:val="00492989"/>
    <w:rsid w:val="004B4414"/>
    <w:rsid w:val="004C10F7"/>
    <w:rsid w:val="004C3B66"/>
    <w:rsid w:val="004D0B8E"/>
    <w:rsid w:val="004D20ED"/>
    <w:rsid w:val="004D6949"/>
    <w:rsid w:val="004D6E14"/>
    <w:rsid w:val="004E4ACB"/>
    <w:rsid w:val="004E69A1"/>
    <w:rsid w:val="004F689C"/>
    <w:rsid w:val="0050278E"/>
    <w:rsid w:val="005048F4"/>
    <w:rsid w:val="00504F78"/>
    <w:rsid w:val="005121CA"/>
    <w:rsid w:val="00520FF1"/>
    <w:rsid w:val="00522345"/>
    <w:rsid w:val="00522A75"/>
    <w:rsid w:val="00527CBD"/>
    <w:rsid w:val="00533A6C"/>
    <w:rsid w:val="0053541A"/>
    <w:rsid w:val="0053752C"/>
    <w:rsid w:val="00543BAB"/>
    <w:rsid w:val="0054485C"/>
    <w:rsid w:val="00545ED4"/>
    <w:rsid w:val="005502B0"/>
    <w:rsid w:val="0055230F"/>
    <w:rsid w:val="0055415D"/>
    <w:rsid w:val="00554D79"/>
    <w:rsid w:val="00565906"/>
    <w:rsid w:val="00565952"/>
    <w:rsid w:val="00570160"/>
    <w:rsid w:val="00570746"/>
    <w:rsid w:val="005805F7"/>
    <w:rsid w:val="00581EA9"/>
    <w:rsid w:val="0059044A"/>
    <w:rsid w:val="00591B22"/>
    <w:rsid w:val="005A0C43"/>
    <w:rsid w:val="005B0E6F"/>
    <w:rsid w:val="005C0394"/>
    <w:rsid w:val="005C1EF8"/>
    <w:rsid w:val="005C2BBD"/>
    <w:rsid w:val="005C4451"/>
    <w:rsid w:val="005E56BD"/>
    <w:rsid w:val="005F09F0"/>
    <w:rsid w:val="005F51A2"/>
    <w:rsid w:val="006001FF"/>
    <w:rsid w:val="00607FD5"/>
    <w:rsid w:val="00610626"/>
    <w:rsid w:val="00611A61"/>
    <w:rsid w:val="006201AF"/>
    <w:rsid w:val="00620A51"/>
    <w:rsid w:val="006221B9"/>
    <w:rsid w:val="00623D26"/>
    <w:rsid w:val="00624205"/>
    <w:rsid w:val="0062438D"/>
    <w:rsid w:val="00625D51"/>
    <w:rsid w:val="00637579"/>
    <w:rsid w:val="00637CA6"/>
    <w:rsid w:val="00637D99"/>
    <w:rsid w:val="00640951"/>
    <w:rsid w:val="00642119"/>
    <w:rsid w:val="00642A71"/>
    <w:rsid w:val="00643768"/>
    <w:rsid w:val="00663935"/>
    <w:rsid w:val="00664DAB"/>
    <w:rsid w:val="00667EF5"/>
    <w:rsid w:val="00671662"/>
    <w:rsid w:val="00673344"/>
    <w:rsid w:val="0067411A"/>
    <w:rsid w:val="00676A27"/>
    <w:rsid w:val="006775EA"/>
    <w:rsid w:val="00680929"/>
    <w:rsid w:val="0068149C"/>
    <w:rsid w:val="00683B96"/>
    <w:rsid w:val="0068490F"/>
    <w:rsid w:val="006858E2"/>
    <w:rsid w:val="006904C4"/>
    <w:rsid w:val="00690691"/>
    <w:rsid w:val="006A2859"/>
    <w:rsid w:val="006A5691"/>
    <w:rsid w:val="006B05FC"/>
    <w:rsid w:val="006B0903"/>
    <w:rsid w:val="006B4570"/>
    <w:rsid w:val="006B702E"/>
    <w:rsid w:val="006B7789"/>
    <w:rsid w:val="006B7E6B"/>
    <w:rsid w:val="006C06E7"/>
    <w:rsid w:val="006C4473"/>
    <w:rsid w:val="006C4B67"/>
    <w:rsid w:val="006D27B8"/>
    <w:rsid w:val="006D3A19"/>
    <w:rsid w:val="006E5D1C"/>
    <w:rsid w:val="006F0B9B"/>
    <w:rsid w:val="006F1206"/>
    <w:rsid w:val="006F7960"/>
    <w:rsid w:val="00704138"/>
    <w:rsid w:val="00705111"/>
    <w:rsid w:val="007066D6"/>
    <w:rsid w:val="00721CCA"/>
    <w:rsid w:val="00722048"/>
    <w:rsid w:val="00731101"/>
    <w:rsid w:val="00731529"/>
    <w:rsid w:val="007352E8"/>
    <w:rsid w:val="00740A64"/>
    <w:rsid w:val="00741D93"/>
    <w:rsid w:val="00742373"/>
    <w:rsid w:val="00742982"/>
    <w:rsid w:val="00743153"/>
    <w:rsid w:val="00745727"/>
    <w:rsid w:val="00755A21"/>
    <w:rsid w:val="0076147F"/>
    <w:rsid w:val="0076458C"/>
    <w:rsid w:val="0077053D"/>
    <w:rsid w:val="0077270D"/>
    <w:rsid w:val="00774093"/>
    <w:rsid w:val="007809EA"/>
    <w:rsid w:val="007949D6"/>
    <w:rsid w:val="007955DF"/>
    <w:rsid w:val="00795A66"/>
    <w:rsid w:val="007A01A7"/>
    <w:rsid w:val="007A4A26"/>
    <w:rsid w:val="007B3701"/>
    <w:rsid w:val="007C6341"/>
    <w:rsid w:val="007D1851"/>
    <w:rsid w:val="007D1F85"/>
    <w:rsid w:val="007D4A73"/>
    <w:rsid w:val="007E19FF"/>
    <w:rsid w:val="007E46B1"/>
    <w:rsid w:val="007E4EAE"/>
    <w:rsid w:val="007E7228"/>
    <w:rsid w:val="007F061B"/>
    <w:rsid w:val="007F10EE"/>
    <w:rsid w:val="007F3E1D"/>
    <w:rsid w:val="0080178F"/>
    <w:rsid w:val="0080200B"/>
    <w:rsid w:val="00802D57"/>
    <w:rsid w:val="0080585F"/>
    <w:rsid w:val="00807460"/>
    <w:rsid w:val="00815C95"/>
    <w:rsid w:val="00831880"/>
    <w:rsid w:val="00834A67"/>
    <w:rsid w:val="0084301A"/>
    <w:rsid w:val="0085438E"/>
    <w:rsid w:val="00856A72"/>
    <w:rsid w:val="00856EFD"/>
    <w:rsid w:val="008622B2"/>
    <w:rsid w:val="0086612C"/>
    <w:rsid w:val="00872866"/>
    <w:rsid w:val="0087429E"/>
    <w:rsid w:val="00880990"/>
    <w:rsid w:val="00885892"/>
    <w:rsid w:val="00890F0D"/>
    <w:rsid w:val="00891F57"/>
    <w:rsid w:val="0089229E"/>
    <w:rsid w:val="00893076"/>
    <w:rsid w:val="00896797"/>
    <w:rsid w:val="008A0902"/>
    <w:rsid w:val="008A40DD"/>
    <w:rsid w:val="008A4CC7"/>
    <w:rsid w:val="008B0613"/>
    <w:rsid w:val="008D726D"/>
    <w:rsid w:val="008E5996"/>
    <w:rsid w:val="00906956"/>
    <w:rsid w:val="009114F6"/>
    <w:rsid w:val="00915891"/>
    <w:rsid w:val="00922B96"/>
    <w:rsid w:val="00924316"/>
    <w:rsid w:val="009251BB"/>
    <w:rsid w:val="00935F3B"/>
    <w:rsid w:val="0093759E"/>
    <w:rsid w:val="0094090A"/>
    <w:rsid w:val="00944B88"/>
    <w:rsid w:val="009477E6"/>
    <w:rsid w:val="0096056F"/>
    <w:rsid w:val="00962116"/>
    <w:rsid w:val="009655A0"/>
    <w:rsid w:val="00971CAC"/>
    <w:rsid w:val="00972AB9"/>
    <w:rsid w:val="00972D29"/>
    <w:rsid w:val="00972EBC"/>
    <w:rsid w:val="0097425C"/>
    <w:rsid w:val="0097438B"/>
    <w:rsid w:val="009759B3"/>
    <w:rsid w:val="00976D80"/>
    <w:rsid w:val="00991D83"/>
    <w:rsid w:val="0099289A"/>
    <w:rsid w:val="0099335A"/>
    <w:rsid w:val="00996FF1"/>
    <w:rsid w:val="009A5C54"/>
    <w:rsid w:val="009A68FE"/>
    <w:rsid w:val="009A7C7A"/>
    <w:rsid w:val="009B2AEA"/>
    <w:rsid w:val="009B371A"/>
    <w:rsid w:val="009C1310"/>
    <w:rsid w:val="009C27C0"/>
    <w:rsid w:val="009C34FD"/>
    <w:rsid w:val="009D1E05"/>
    <w:rsid w:val="009D2037"/>
    <w:rsid w:val="009D2E2C"/>
    <w:rsid w:val="009D5DDD"/>
    <w:rsid w:val="009D6D3F"/>
    <w:rsid w:val="009F0A3B"/>
    <w:rsid w:val="009F2220"/>
    <w:rsid w:val="009F2920"/>
    <w:rsid w:val="009F4747"/>
    <w:rsid w:val="00A01926"/>
    <w:rsid w:val="00A12AEE"/>
    <w:rsid w:val="00A135D5"/>
    <w:rsid w:val="00A16B94"/>
    <w:rsid w:val="00A2114B"/>
    <w:rsid w:val="00A21BB1"/>
    <w:rsid w:val="00A2260E"/>
    <w:rsid w:val="00A234C3"/>
    <w:rsid w:val="00A23CDF"/>
    <w:rsid w:val="00A25A4D"/>
    <w:rsid w:val="00A2621D"/>
    <w:rsid w:val="00A3138C"/>
    <w:rsid w:val="00A3798E"/>
    <w:rsid w:val="00A4123A"/>
    <w:rsid w:val="00A47BC0"/>
    <w:rsid w:val="00A56E29"/>
    <w:rsid w:val="00A61483"/>
    <w:rsid w:val="00A62330"/>
    <w:rsid w:val="00A65988"/>
    <w:rsid w:val="00A6695B"/>
    <w:rsid w:val="00A7536B"/>
    <w:rsid w:val="00A75491"/>
    <w:rsid w:val="00A81D08"/>
    <w:rsid w:val="00A852A3"/>
    <w:rsid w:val="00A8667E"/>
    <w:rsid w:val="00A869D2"/>
    <w:rsid w:val="00A90DB9"/>
    <w:rsid w:val="00A9129E"/>
    <w:rsid w:val="00A91CD4"/>
    <w:rsid w:val="00AA07B2"/>
    <w:rsid w:val="00AA27B8"/>
    <w:rsid w:val="00AA5AAD"/>
    <w:rsid w:val="00AA5FAF"/>
    <w:rsid w:val="00AA79CB"/>
    <w:rsid w:val="00AB166D"/>
    <w:rsid w:val="00AC4574"/>
    <w:rsid w:val="00AC672D"/>
    <w:rsid w:val="00AD2D81"/>
    <w:rsid w:val="00AE29B3"/>
    <w:rsid w:val="00AE39AA"/>
    <w:rsid w:val="00AE514B"/>
    <w:rsid w:val="00AF4A49"/>
    <w:rsid w:val="00AF5E43"/>
    <w:rsid w:val="00B00002"/>
    <w:rsid w:val="00B01082"/>
    <w:rsid w:val="00B01D44"/>
    <w:rsid w:val="00B0279F"/>
    <w:rsid w:val="00B0727C"/>
    <w:rsid w:val="00B077ED"/>
    <w:rsid w:val="00B121C8"/>
    <w:rsid w:val="00B15CAA"/>
    <w:rsid w:val="00B16686"/>
    <w:rsid w:val="00B32B00"/>
    <w:rsid w:val="00B353DC"/>
    <w:rsid w:val="00B406D4"/>
    <w:rsid w:val="00B43186"/>
    <w:rsid w:val="00B440FB"/>
    <w:rsid w:val="00B45669"/>
    <w:rsid w:val="00B50A46"/>
    <w:rsid w:val="00B606E1"/>
    <w:rsid w:val="00B6081F"/>
    <w:rsid w:val="00B62B9F"/>
    <w:rsid w:val="00B6397C"/>
    <w:rsid w:val="00B64508"/>
    <w:rsid w:val="00B65F0A"/>
    <w:rsid w:val="00B778F8"/>
    <w:rsid w:val="00B77D7F"/>
    <w:rsid w:val="00B80B77"/>
    <w:rsid w:val="00B811C1"/>
    <w:rsid w:val="00B84E75"/>
    <w:rsid w:val="00B91BFE"/>
    <w:rsid w:val="00B92EA6"/>
    <w:rsid w:val="00B95260"/>
    <w:rsid w:val="00B971AE"/>
    <w:rsid w:val="00BA6AED"/>
    <w:rsid w:val="00BB0A3B"/>
    <w:rsid w:val="00BB3003"/>
    <w:rsid w:val="00BB3927"/>
    <w:rsid w:val="00BB468E"/>
    <w:rsid w:val="00BC672F"/>
    <w:rsid w:val="00BD051E"/>
    <w:rsid w:val="00BD557A"/>
    <w:rsid w:val="00BD5661"/>
    <w:rsid w:val="00BE2D6A"/>
    <w:rsid w:val="00BF088E"/>
    <w:rsid w:val="00BF60F0"/>
    <w:rsid w:val="00C01D59"/>
    <w:rsid w:val="00C0669C"/>
    <w:rsid w:val="00C100DB"/>
    <w:rsid w:val="00C11088"/>
    <w:rsid w:val="00C12446"/>
    <w:rsid w:val="00C138A0"/>
    <w:rsid w:val="00C17C21"/>
    <w:rsid w:val="00C2556C"/>
    <w:rsid w:val="00C302FE"/>
    <w:rsid w:val="00C306C6"/>
    <w:rsid w:val="00C343B6"/>
    <w:rsid w:val="00C447AA"/>
    <w:rsid w:val="00C46050"/>
    <w:rsid w:val="00C53305"/>
    <w:rsid w:val="00C534C8"/>
    <w:rsid w:val="00C60F7A"/>
    <w:rsid w:val="00C626FF"/>
    <w:rsid w:val="00C634AF"/>
    <w:rsid w:val="00C66E7B"/>
    <w:rsid w:val="00C929E9"/>
    <w:rsid w:val="00C92B9E"/>
    <w:rsid w:val="00C93898"/>
    <w:rsid w:val="00C94B8E"/>
    <w:rsid w:val="00C9722F"/>
    <w:rsid w:val="00CB16F1"/>
    <w:rsid w:val="00CB490C"/>
    <w:rsid w:val="00CC5554"/>
    <w:rsid w:val="00CD1012"/>
    <w:rsid w:val="00CE0D1F"/>
    <w:rsid w:val="00CE1BDE"/>
    <w:rsid w:val="00CE207C"/>
    <w:rsid w:val="00CE3600"/>
    <w:rsid w:val="00D01F4D"/>
    <w:rsid w:val="00D10AAB"/>
    <w:rsid w:val="00D15FDE"/>
    <w:rsid w:val="00D20B3A"/>
    <w:rsid w:val="00D26450"/>
    <w:rsid w:val="00D27075"/>
    <w:rsid w:val="00D27855"/>
    <w:rsid w:val="00D27896"/>
    <w:rsid w:val="00D278DB"/>
    <w:rsid w:val="00D3380C"/>
    <w:rsid w:val="00D37D0C"/>
    <w:rsid w:val="00D41E24"/>
    <w:rsid w:val="00D452DE"/>
    <w:rsid w:val="00D60562"/>
    <w:rsid w:val="00D70473"/>
    <w:rsid w:val="00D70C50"/>
    <w:rsid w:val="00D75F27"/>
    <w:rsid w:val="00D777AF"/>
    <w:rsid w:val="00D8228F"/>
    <w:rsid w:val="00DA0170"/>
    <w:rsid w:val="00DC12F6"/>
    <w:rsid w:val="00DC2651"/>
    <w:rsid w:val="00DC70E1"/>
    <w:rsid w:val="00DD25DC"/>
    <w:rsid w:val="00DE05EA"/>
    <w:rsid w:val="00DF2366"/>
    <w:rsid w:val="00E00365"/>
    <w:rsid w:val="00E029B2"/>
    <w:rsid w:val="00E04326"/>
    <w:rsid w:val="00E07C46"/>
    <w:rsid w:val="00E13F50"/>
    <w:rsid w:val="00E16026"/>
    <w:rsid w:val="00E16B93"/>
    <w:rsid w:val="00E17FC2"/>
    <w:rsid w:val="00E209B0"/>
    <w:rsid w:val="00E31360"/>
    <w:rsid w:val="00E32D32"/>
    <w:rsid w:val="00E34D40"/>
    <w:rsid w:val="00E3621B"/>
    <w:rsid w:val="00E412D7"/>
    <w:rsid w:val="00E445AC"/>
    <w:rsid w:val="00E46583"/>
    <w:rsid w:val="00E50971"/>
    <w:rsid w:val="00E54639"/>
    <w:rsid w:val="00E54923"/>
    <w:rsid w:val="00E55A3E"/>
    <w:rsid w:val="00E612A7"/>
    <w:rsid w:val="00E65359"/>
    <w:rsid w:val="00E6749F"/>
    <w:rsid w:val="00E70C8D"/>
    <w:rsid w:val="00E73E62"/>
    <w:rsid w:val="00E74E68"/>
    <w:rsid w:val="00E84248"/>
    <w:rsid w:val="00E865E2"/>
    <w:rsid w:val="00E9050C"/>
    <w:rsid w:val="00E90628"/>
    <w:rsid w:val="00E969D2"/>
    <w:rsid w:val="00EA07E6"/>
    <w:rsid w:val="00EA2055"/>
    <w:rsid w:val="00EB77AF"/>
    <w:rsid w:val="00EC0B13"/>
    <w:rsid w:val="00EC249F"/>
    <w:rsid w:val="00EC674A"/>
    <w:rsid w:val="00ED7C44"/>
    <w:rsid w:val="00EE18E4"/>
    <w:rsid w:val="00F12923"/>
    <w:rsid w:val="00F13400"/>
    <w:rsid w:val="00F16271"/>
    <w:rsid w:val="00F17314"/>
    <w:rsid w:val="00F17EC7"/>
    <w:rsid w:val="00F20C03"/>
    <w:rsid w:val="00F36051"/>
    <w:rsid w:val="00F43CA7"/>
    <w:rsid w:val="00F460B5"/>
    <w:rsid w:val="00F46C26"/>
    <w:rsid w:val="00F47F15"/>
    <w:rsid w:val="00F50A6B"/>
    <w:rsid w:val="00F54827"/>
    <w:rsid w:val="00F55801"/>
    <w:rsid w:val="00F56DA8"/>
    <w:rsid w:val="00F66119"/>
    <w:rsid w:val="00F71AA8"/>
    <w:rsid w:val="00F723DF"/>
    <w:rsid w:val="00F76CB8"/>
    <w:rsid w:val="00F77122"/>
    <w:rsid w:val="00F77D18"/>
    <w:rsid w:val="00F845A3"/>
    <w:rsid w:val="00F86824"/>
    <w:rsid w:val="00F8690D"/>
    <w:rsid w:val="00F9413D"/>
    <w:rsid w:val="00FA2422"/>
    <w:rsid w:val="00FA2938"/>
    <w:rsid w:val="00FC6691"/>
    <w:rsid w:val="00FC77E9"/>
    <w:rsid w:val="00FC7966"/>
    <w:rsid w:val="00FE07B3"/>
    <w:rsid w:val="00FE3AA3"/>
    <w:rsid w:val="00FF2410"/>
    <w:rsid w:val="00FF3D9C"/>
    <w:rsid w:val="00FF53B5"/>
    <w:rsid w:val="060481E4"/>
    <w:rsid w:val="06FBCEED"/>
    <w:rsid w:val="0A94D213"/>
    <w:rsid w:val="122C3EB9"/>
    <w:rsid w:val="16DD79A8"/>
    <w:rsid w:val="292C3604"/>
    <w:rsid w:val="35DC4068"/>
    <w:rsid w:val="3D4AEAE2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F9413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ma.govt.nz/assets/Information-sheets/Developing-cyber-resilience-for-financial-advice-providers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fma.govt.nz/assets/Reports/CustomerVulnerability-ourexpectationsforproviders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qualifications@ringahora.n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ialadvicecode.govt.nz/wp-content/uploads/2021/03/codeofprofessionalconduct-march2021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so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ma.govt.nz/assets/Research/Understanding-Artificial-Intelligence-in-Financial-Services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8A659-7F76-4743-A790-7D4ADC150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9</cp:revision>
  <cp:lastPrinted>2023-05-01T02:03:00Z</cp:lastPrinted>
  <dcterms:created xsi:type="dcterms:W3CDTF">2025-01-21T23:19:00Z</dcterms:created>
  <dcterms:modified xsi:type="dcterms:W3CDTF">2025-01-21T23:55:00Z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