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587CD972" w:rsidR="007066D6" w:rsidRDefault="00F00546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8060" w:type="dxa"/>
          </w:tcPr>
          <w:p w14:paraId="512FDC1E" w14:textId="110885C8" w:rsidR="007066D6" w:rsidRPr="004D6E14" w:rsidRDefault="00B867AF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Apply knowledge of </w:t>
            </w:r>
            <w:r w:rsidR="00066CBD">
              <w:rPr>
                <w:rFonts w:ascii="Arial" w:hAnsi="Arial" w:cs="Arial"/>
                <w:b/>
                <w:bCs/>
                <w:color w:val="auto"/>
              </w:rPr>
              <w:t xml:space="preserve">lending </w:t>
            </w:r>
            <w:r w:rsidR="00005996">
              <w:rPr>
                <w:rFonts w:ascii="Arial" w:hAnsi="Arial" w:cs="Arial"/>
                <w:b/>
                <w:bCs/>
                <w:color w:val="auto"/>
              </w:rPr>
              <w:t xml:space="preserve">products </w:t>
            </w:r>
            <w:r w:rsidR="00982AE2">
              <w:rPr>
                <w:rFonts w:ascii="Arial" w:hAnsi="Arial" w:cs="Arial"/>
                <w:b/>
                <w:bCs/>
                <w:color w:val="auto"/>
              </w:rPr>
              <w:t xml:space="preserve">and services to meet client needs </w:t>
            </w:r>
            <w:r w:rsidR="00FE3A7C">
              <w:rPr>
                <w:rFonts w:ascii="Arial" w:hAnsi="Arial" w:cs="Arial"/>
                <w:b/>
                <w:bCs/>
                <w:color w:val="auto"/>
              </w:rPr>
              <w:t>and process a loan application</w:t>
            </w:r>
            <w:r w:rsidR="008E7DF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2B0D72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2BFDD592" w:rsidR="004D6E14" w:rsidRPr="00676A27" w:rsidRDefault="00982AE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319AEFDB" w14:textId="77777777" w:rsidTr="002B0D72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3BDC6ABA" w:rsidR="004D6E14" w:rsidRPr="00676A27" w:rsidRDefault="00DA607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B7D18" w:rsidRPr="004D6E14" w14:paraId="49BD60D9" w14:textId="77777777" w:rsidTr="002B0D72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C2D6" w14:textId="23A2DCA3" w:rsidR="00D86269" w:rsidRDefault="00D86269" w:rsidP="00D8626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purpose of this skill standard is for people who want to work as a financial adviser in the provision of residential property lending</w:t>
            </w:r>
            <w:r w:rsidR="00B41939">
              <w:rPr>
                <w:rFonts w:ascii="Arial" w:hAnsi="Arial" w:cs="Arial"/>
                <w:sz w:val="22"/>
                <w:szCs w:val="22"/>
              </w:rPr>
              <w:t xml:space="preserve"> and personal lending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72D8AF9" w14:textId="3FF3B1FC" w:rsidR="00D86269" w:rsidRDefault="00D86269" w:rsidP="00D8626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apply knowledge of lending products and services to meet client </w:t>
            </w:r>
            <w:r w:rsidR="00F33F51">
              <w:rPr>
                <w:rFonts w:ascii="Arial" w:hAnsi="Arial" w:cs="Arial"/>
                <w:sz w:val="22"/>
                <w:szCs w:val="22"/>
              </w:rPr>
              <w:t>needs and</w:t>
            </w:r>
            <w:r w:rsidR="00B41939">
              <w:rPr>
                <w:rFonts w:ascii="Arial" w:hAnsi="Arial" w:cs="Arial"/>
                <w:sz w:val="22"/>
                <w:szCs w:val="22"/>
              </w:rPr>
              <w:t xml:space="preserve"> process a loan application</w:t>
            </w:r>
            <w:r w:rsidR="00A14A6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26E3A3F" w14:textId="7A3C2773" w:rsidR="00B077ED" w:rsidRPr="00676A27" w:rsidRDefault="00D86269" w:rsidP="00D8626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has been developed primarily for the assessment within programmes leading to the New Zealand Certificate in Financial Services (Level 5) with strand</w:t>
            </w:r>
            <w:r w:rsidR="00B4193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A14A6E">
              <w:rPr>
                <w:rFonts w:ascii="Arial" w:hAnsi="Arial" w:cs="Arial"/>
                <w:sz w:val="22"/>
                <w:szCs w:val="22"/>
              </w:rPr>
              <w:t xml:space="preserve"> Residential Property Lending</w:t>
            </w:r>
            <w:r w:rsidR="00B41939">
              <w:rPr>
                <w:rFonts w:ascii="Arial" w:hAnsi="Arial" w:cs="Arial"/>
                <w:sz w:val="22"/>
                <w:szCs w:val="22"/>
              </w:rPr>
              <w:t>, and Personal Lending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14A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7D2A37" w14:paraId="3D9920CC" w14:textId="77777777" w:rsidTr="0062615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1CCAC4BF" w14:textId="02FFE957" w:rsidR="007D2A37" w:rsidRPr="00222548" w:rsidRDefault="007D2A37" w:rsidP="008C3A1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knowledge of </w:t>
            </w:r>
            <w:r w:rsidRPr="00B75F1A">
              <w:rPr>
                <w:rFonts w:ascii="Arial" w:hAnsi="Arial" w:cs="Arial"/>
                <w:sz w:val="22"/>
                <w:szCs w:val="22"/>
              </w:rPr>
              <w:t>client and adviser circumstances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B7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lending products and services to meet client needs.  </w:t>
            </w:r>
          </w:p>
          <w:p w14:paraId="69F7F8F9" w14:textId="74B4FD78" w:rsidR="007D2A37" w:rsidRPr="00222548" w:rsidRDefault="007D2A37" w:rsidP="009F6CFB">
            <w:pPr>
              <w:tabs>
                <w:tab w:val="left" w:pos="1134"/>
                <w:tab w:val="left" w:pos="2552"/>
              </w:tabs>
              <w:spacing w:line="240" w:lineRule="auto"/>
              <w:ind w:left="306" w:hanging="3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4795550C" w:rsidR="007D2A37" w:rsidRPr="00444B4E" w:rsidRDefault="007D2A37" w:rsidP="008C3A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7783F">
              <w:rPr>
                <w:rFonts w:ascii="Arial" w:hAnsi="Arial" w:cs="Arial"/>
                <w:sz w:val="22"/>
                <w:szCs w:val="22"/>
              </w:rPr>
              <w:t>Analyse the features, benefits, risks, and limitations of products and services to identify those that meet the needs and circumstances of the client.</w:t>
            </w:r>
          </w:p>
        </w:tc>
      </w:tr>
      <w:tr w:rsidR="007D2A37" w14:paraId="032DD221" w14:textId="77777777" w:rsidTr="00626152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609CFD14" w:rsidR="007D2A37" w:rsidRPr="00222548" w:rsidRDefault="007D2A37" w:rsidP="009F6CFB">
            <w:pPr>
              <w:tabs>
                <w:tab w:val="left" w:pos="1134"/>
                <w:tab w:val="left" w:pos="2552"/>
              </w:tabs>
              <w:spacing w:line="240" w:lineRule="auto"/>
              <w:ind w:left="306" w:hanging="3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3F8644B3" w:rsidR="007D2A37" w:rsidRPr="00444B4E" w:rsidRDefault="00BC2BB9" w:rsidP="008C3A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calculat</w:t>
            </w:r>
            <w:r w:rsidR="00A167D5">
              <w:rPr>
                <w:rFonts w:ascii="Arial" w:hAnsi="Arial" w:cs="Arial"/>
                <w:sz w:val="22"/>
                <w:szCs w:val="22"/>
              </w:rPr>
              <w:t>ions</w:t>
            </w:r>
            <w:r>
              <w:rPr>
                <w:rFonts w:ascii="Arial" w:hAnsi="Arial" w:cs="Arial"/>
                <w:sz w:val="22"/>
                <w:szCs w:val="22"/>
              </w:rPr>
              <w:t xml:space="preserve"> to d</w:t>
            </w:r>
            <w:r w:rsidR="008C1628">
              <w:rPr>
                <w:rFonts w:ascii="Arial" w:hAnsi="Arial" w:cs="Arial"/>
                <w:sz w:val="22"/>
                <w:szCs w:val="22"/>
              </w:rPr>
              <w:t xml:space="preserve">etermine </w:t>
            </w:r>
            <w:r w:rsidR="00B77351">
              <w:rPr>
                <w:rFonts w:ascii="Arial" w:hAnsi="Arial" w:cs="Arial"/>
                <w:sz w:val="22"/>
                <w:szCs w:val="22"/>
              </w:rPr>
              <w:t xml:space="preserve">eligibility against the lender’s criteria.  </w:t>
            </w:r>
          </w:p>
        </w:tc>
      </w:tr>
      <w:tr w:rsidR="007D2A37" w14:paraId="68C9CB14" w14:textId="77777777" w:rsidTr="00626152">
        <w:trPr>
          <w:cantSplit/>
          <w:trHeight w:val="276"/>
          <w:tblHeader/>
        </w:trPr>
        <w:tc>
          <w:tcPr>
            <w:tcW w:w="4627" w:type="dxa"/>
            <w:vMerge/>
          </w:tcPr>
          <w:p w14:paraId="656C34EA" w14:textId="0DEBCD82" w:rsidR="007D2A37" w:rsidRPr="00222548" w:rsidRDefault="007D2A37" w:rsidP="009F6CFB">
            <w:pPr>
              <w:tabs>
                <w:tab w:val="left" w:pos="1134"/>
                <w:tab w:val="left" w:pos="2552"/>
              </w:tabs>
              <w:spacing w:line="240" w:lineRule="auto"/>
              <w:ind w:left="306" w:hanging="3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FAD" w14:textId="273064F5" w:rsidR="007D2A37" w:rsidRPr="005A163C" w:rsidRDefault="007D2A37" w:rsidP="008C3A1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169A7">
              <w:rPr>
                <w:rFonts w:ascii="Arial" w:hAnsi="Arial" w:cs="Arial"/>
                <w:sz w:val="22"/>
                <w:szCs w:val="22"/>
              </w:rPr>
              <w:t>Adjust specific terms of products or services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9A7">
              <w:rPr>
                <w:rFonts w:ascii="Arial" w:hAnsi="Arial" w:cs="Arial"/>
                <w:sz w:val="22"/>
                <w:szCs w:val="22"/>
              </w:rPr>
              <w:t>meet client’s circumstances and needs.</w:t>
            </w:r>
          </w:p>
        </w:tc>
      </w:tr>
      <w:tr w:rsidR="007D2A37" w14:paraId="4F29B907" w14:textId="77777777" w:rsidTr="002177B1">
        <w:trPr>
          <w:cantSplit/>
          <w:trHeight w:val="276"/>
          <w:tblHeader/>
        </w:trPr>
        <w:tc>
          <w:tcPr>
            <w:tcW w:w="4627" w:type="dxa"/>
            <w:vMerge/>
          </w:tcPr>
          <w:p w14:paraId="44F96AE3" w14:textId="5296A20C" w:rsidR="007D2A37" w:rsidRPr="00B75F1A" w:rsidRDefault="007D2A37" w:rsidP="009F6CFB">
            <w:pPr>
              <w:tabs>
                <w:tab w:val="left" w:pos="1134"/>
                <w:tab w:val="left" w:pos="2552"/>
              </w:tabs>
              <w:spacing w:line="240" w:lineRule="auto"/>
              <w:ind w:left="306" w:hanging="3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2839B299" w:rsidR="007D2A37" w:rsidRPr="00444B4E" w:rsidRDefault="007D2A37" w:rsidP="00CC38EA">
            <w:pPr>
              <w:widowControl w:val="0"/>
              <w:spacing w:line="240" w:lineRule="auto"/>
              <w:ind w:left="364" w:hanging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  </w:t>
            </w:r>
            <w:r w:rsidRPr="00CC38EA">
              <w:rPr>
                <w:rFonts w:ascii="Arial" w:hAnsi="Arial" w:cs="Arial"/>
                <w:sz w:val="22"/>
                <w:szCs w:val="22"/>
              </w:rPr>
              <w:t>Assess the relevance of the legal structure of the client in relation to any special requirements imposed by the lending frameworks.</w:t>
            </w:r>
          </w:p>
        </w:tc>
      </w:tr>
      <w:tr w:rsidR="007D2A37" w14:paraId="62B290B2" w14:textId="77777777" w:rsidTr="002177B1">
        <w:trPr>
          <w:cantSplit/>
          <w:trHeight w:val="275"/>
          <w:tblHeader/>
        </w:trPr>
        <w:tc>
          <w:tcPr>
            <w:tcW w:w="4627" w:type="dxa"/>
            <w:vMerge/>
            <w:tcBorders>
              <w:bottom w:val="single" w:sz="4" w:space="0" w:color="auto"/>
            </w:tcBorders>
          </w:tcPr>
          <w:p w14:paraId="0EAC1F95" w14:textId="77777777" w:rsidR="007D2A37" w:rsidRPr="00222548" w:rsidRDefault="007D2A37" w:rsidP="008C3A1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071B999A" w:rsidR="007D2A37" w:rsidRPr="00444B4E" w:rsidRDefault="007D2A37" w:rsidP="00E06DC8">
            <w:pPr>
              <w:spacing w:line="240" w:lineRule="auto"/>
              <w:ind w:left="364" w:hanging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 </w:t>
            </w:r>
            <w:r w:rsidRPr="00E06DC8">
              <w:rPr>
                <w:rFonts w:ascii="Arial" w:hAnsi="Arial" w:cs="Arial"/>
                <w:sz w:val="22"/>
                <w:szCs w:val="22"/>
              </w:rPr>
              <w:t>Explain strategies to address any limits of authority or expertise when creating residential property borrowing solutions to meet client needs.</w:t>
            </w:r>
          </w:p>
        </w:tc>
      </w:tr>
      <w:tr w:rsidR="001A0282" w14:paraId="6AAD4CC2" w14:textId="77777777" w:rsidTr="008B7C8B">
        <w:trPr>
          <w:cantSplit/>
          <w:trHeight w:val="844"/>
          <w:tblHeader/>
        </w:trPr>
        <w:tc>
          <w:tcPr>
            <w:tcW w:w="4627" w:type="dxa"/>
            <w:tcBorders>
              <w:top w:val="single" w:sz="4" w:space="0" w:color="auto"/>
            </w:tcBorders>
          </w:tcPr>
          <w:p w14:paraId="6701C6DE" w14:textId="4F8BFA66" w:rsidR="001A0282" w:rsidRPr="008A3D2B" w:rsidRDefault="001A0282" w:rsidP="008B7C8B">
            <w:pPr>
              <w:widowControl w:val="0"/>
              <w:spacing w:line="240" w:lineRule="auto"/>
              <w:ind w:left="311" w:hanging="311"/>
              <w:rPr>
                <w:rFonts w:ascii="Arial" w:hAnsi="Arial" w:cs="Arial"/>
                <w:sz w:val="22"/>
                <w:szCs w:val="22"/>
              </w:rPr>
            </w:pPr>
            <w:r w:rsidRPr="008B7C8B">
              <w:rPr>
                <w:rFonts w:ascii="Arial" w:hAnsi="Arial" w:cs="Arial"/>
                <w:sz w:val="22"/>
                <w:szCs w:val="22"/>
              </w:rPr>
              <w:t>2</w:t>
            </w:r>
            <w:r w:rsidRPr="008A3D2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60B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Prepare </w:t>
            </w:r>
            <w:r w:rsidR="00756A93">
              <w:rPr>
                <w:rFonts w:ascii="Arial" w:hAnsi="Arial" w:cs="Arial"/>
                <w:sz w:val="22"/>
                <w:szCs w:val="22"/>
              </w:rPr>
              <w:t>documentation for lending application</w:t>
            </w:r>
            <w:r w:rsidRPr="008A3D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ACD3A1" w14:textId="110AD107" w:rsidR="001A0282" w:rsidRPr="00FE3A7C" w:rsidRDefault="001A0282" w:rsidP="00FE3A7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523F8A66" w14:textId="0DC31A5B" w:rsidR="001A0282" w:rsidRPr="0012611D" w:rsidRDefault="001A0282" w:rsidP="001A0282">
            <w:pPr>
              <w:spacing w:line="240" w:lineRule="auto"/>
              <w:ind w:left="364" w:hanging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  </w:t>
            </w:r>
            <w:r w:rsidRPr="0012611D">
              <w:rPr>
                <w:rFonts w:ascii="Arial" w:hAnsi="Arial" w:cs="Arial"/>
                <w:sz w:val="22"/>
                <w:szCs w:val="22"/>
              </w:rPr>
              <w:t>Prepare and process documentation for the l</w:t>
            </w:r>
            <w:r w:rsidR="00CA2C65">
              <w:rPr>
                <w:rFonts w:ascii="Arial" w:hAnsi="Arial" w:cs="Arial"/>
                <w:sz w:val="22"/>
                <w:szCs w:val="22"/>
              </w:rPr>
              <w:t xml:space="preserve">ending </w:t>
            </w:r>
            <w:r w:rsidRPr="0012611D">
              <w:rPr>
                <w:rFonts w:ascii="Arial" w:hAnsi="Arial" w:cs="Arial"/>
                <w:sz w:val="22"/>
                <w:szCs w:val="22"/>
              </w:rPr>
              <w:t>application in accordance with lending frameworks.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20E777F9" w14:textId="77777777" w:rsidR="001354F6" w:rsidRDefault="001354F6" w:rsidP="001354F6">
      <w:pPr>
        <w:spacing w:line="240" w:lineRule="auto"/>
        <w:rPr>
          <w:rFonts w:ascii="Arial" w:hAnsi="Arial" w:cs="Arial"/>
          <w:sz w:val="22"/>
          <w:szCs w:val="22"/>
        </w:rPr>
      </w:pPr>
      <w:r w:rsidRPr="005B622A">
        <w:rPr>
          <w:rFonts w:ascii="Arial" w:hAnsi="Arial" w:cs="Arial"/>
          <w:sz w:val="22"/>
          <w:szCs w:val="22"/>
        </w:rPr>
        <w:t>Assessment should use real or realistic documentation where appropriate. Simulated examples are permitted.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F25E40" w14:textId="77777777" w:rsidR="001354F6" w:rsidRDefault="001354F6" w:rsidP="001354F6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if they are available to a licenced financial advice provider or having a licence to use.</w:t>
      </w:r>
    </w:p>
    <w:p w14:paraId="6F16B26F" w14:textId="77777777" w:rsidR="001354F6" w:rsidRPr="004C55EC" w:rsidRDefault="001354F6" w:rsidP="001354F6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AB231A" w14:textId="77777777" w:rsidR="001354F6" w:rsidRDefault="001354F6" w:rsidP="001354F6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t>All activities must comply with legislation, regulations, and best practice, including any guidance notes published by the agency responsible for the relevant enactment or code.</w:t>
      </w:r>
    </w:p>
    <w:p w14:paraId="366548D9" w14:textId="145585C9" w:rsidR="00CE0DC3" w:rsidRDefault="00CE0DC3" w:rsidP="00CE0D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Pr="004D1896">
        <w:rPr>
          <w:rFonts w:ascii="Arial" w:hAnsi="Arial" w:cs="Arial"/>
          <w:i/>
          <w:iCs/>
          <w:sz w:val="22"/>
          <w:szCs w:val="22"/>
        </w:rPr>
        <w:t>lient</w:t>
      </w:r>
      <w:r>
        <w:rPr>
          <w:rFonts w:ascii="Arial" w:hAnsi="Arial" w:cs="Arial"/>
          <w:sz w:val="22"/>
          <w:szCs w:val="22"/>
        </w:rPr>
        <w:t xml:space="preserve"> also includes potential clients. </w:t>
      </w:r>
      <w:r w:rsidR="00095440">
        <w:rPr>
          <w:rFonts w:ascii="Arial" w:hAnsi="Arial" w:cs="Arial"/>
          <w:sz w:val="22"/>
          <w:szCs w:val="22"/>
        </w:rPr>
        <w:t xml:space="preserve">Clients may </w:t>
      </w:r>
      <w:r w:rsidR="008B7C8B">
        <w:rPr>
          <w:rFonts w:ascii="Arial" w:hAnsi="Arial" w:cs="Arial"/>
          <w:sz w:val="22"/>
          <w:szCs w:val="22"/>
        </w:rPr>
        <w:t>include</w:t>
      </w:r>
      <w:r w:rsidR="00095440">
        <w:rPr>
          <w:rFonts w:ascii="Arial" w:hAnsi="Arial" w:cs="Arial"/>
          <w:sz w:val="22"/>
          <w:szCs w:val="22"/>
        </w:rPr>
        <w:t xml:space="preserve"> Trust, individual, family, joint.  </w:t>
      </w:r>
    </w:p>
    <w:p w14:paraId="3CCF048E" w14:textId="77777777" w:rsidR="006C3AC5" w:rsidRPr="00836D34" w:rsidRDefault="006C3AC5" w:rsidP="006C3AC5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0EDF1E5" w14:textId="6A27A279" w:rsidR="00CE0DC3" w:rsidRDefault="005E76EB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For Residential Property Lending - </w:t>
      </w:r>
      <w:r w:rsidR="00CA7F68">
        <w:rPr>
          <w:rFonts w:ascii="Arial" w:hAnsi="Arial" w:cs="Arial"/>
          <w:color w:val="000000" w:themeColor="text1"/>
          <w:sz w:val="22"/>
          <w:szCs w:val="22"/>
        </w:rPr>
        <w:t>E</w:t>
      </w:r>
      <w:r w:rsidR="00D351A2" w:rsidRPr="00D351A2">
        <w:rPr>
          <w:rFonts w:ascii="Arial" w:hAnsi="Arial" w:cs="Arial"/>
          <w:color w:val="000000" w:themeColor="text1"/>
          <w:sz w:val="22"/>
          <w:szCs w:val="22"/>
        </w:rPr>
        <w:t xml:space="preserve">vidence of </w:t>
      </w:r>
      <w:r w:rsidR="005C76BF">
        <w:rPr>
          <w:rFonts w:ascii="Arial" w:hAnsi="Arial" w:cs="Arial"/>
          <w:color w:val="000000" w:themeColor="text1"/>
          <w:sz w:val="22"/>
          <w:szCs w:val="22"/>
        </w:rPr>
        <w:t>three</w:t>
      </w:r>
      <w:r w:rsidR="00D351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C43D6">
        <w:rPr>
          <w:rFonts w:ascii="Arial" w:hAnsi="Arial" w:cs="Arial"/>
          <w:color w:val="000000" w:themeColor="text1"/>
          <w:sz w:val="22"/>
          <w:szCs w:val="22"/>
        </w:rPr>
        <w:t>different lending structures</w:t>
      </w:r>
      <w:r w:rsidR="00200DAD">
        <w:rPr>
          <w:rFonts w:ascii="Arial" w:hAnsi="Arial" w:cs="Arial"/>
          <w:color w:val="000000" w:themeColor="text1"/>
          <w:sz w:val="22"/>
          <w:szCs w:val="22"/>
        </w:rPr>
        <w:t xml:space="preserve"> in terms of their features, benefits and risks. A</w:t>
      </w:r>
      <w:r w:rsidR="00D351A2" w:rsidRPr="00D351A2">
        <w:rPr>
          <w:rFonts w:ascii="Arial" w:hAnsi="Arial" w:cs="Arial"/>
          <w:color w:val="000000" w:themeColor="text1"/>
          <w:sz w:val="22"/>
          <w:szCs w:val="22"/>
        </w:rPr>
        <w:t>t least two different interest structures and at least two different capital structures.</w:t>
      </w:r>
    </w:p>
    <w:p w14:paraId="3C383A4B" w14:textId="2598D4F7" w:rsidR="00631967" w:rsidRDefault="00631967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631967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14:paraId="7621B1BE" w14:textId="77777777" w:rsidR="006072CA" w:rsidRPr="00605530" w:rsidRDefault="006072CA" w:rsidP="006072CA">
      <w:pPr>
        <w:widowControl w:val="0"/>
        <w:tabs>
          <w:tab w:val="left" w:pos="1134"/>
        </w:tabs>
        <w:spacing w:line="240" w:lineRule="auto"/>
        <w:rPr>
          <w:rFonts w:ascii="Arial" w:hAnsi="Arial" w:cs="Arial"/>
          <w:sz w:val="22"/>
          <w:szCs w:val="22"/>
        </w:rPr>
      </w:pPr>
      <w:r w:rsidRPr="008B00FE">
        <w:rPr>
          <w:rFonts w:ascii="Arial" w:hAnsi="Arial" w:cs="Arial"/>
          <w:i/>
          <w:iCs/>
          <w:sz w:val="22"/>
          <w:szCs w:val="22"/>
        </w:rPr>
        <w:t>Lending frameworks</w:t>
      </w:r>
      <w:r w:rsidRPr="00AA25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refer to </w:t>
      </w:r>
      <w:r w:rsidRPr="00605530">
        <w:rPr>
          <w:rFonts w:ascii="Arial" w:hAnsi="Arial" w:cs="Arial"/>
          <w:sz w:val="22"/>
          <w:szCs w:val="22"/>
        </w:rPr>
        <w:t>organisational policies, procedures, and guidelines that set out requirements and criteria that apply to loan application, assessment, approval, management, reassessment, collections and/or recoveries.  Policies may cover trigger points for activation of policy, process to initiate action, and escalation triggers.</w:t>
      </w:r>
    </w:p>
    <w:p w14:paraId="465004D9" w14:textId="77777777" w:rsidR="006072CA" w:rsidRDefault="006072CA" w:rsidP="00DC70E1">
      <w:pPr>
        <w:spacing w:line="240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49525274" w14:textId="4A980DA3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3776A8DC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EAED6E5" w14:textId="28053794" w:rsidR="00C776E2" w:rsidRDefault="00C468F7" w:rsidP="00C776E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Residential Property </w:t>
      </w:r>
      <w:r w:rsidR="00C776E2">
        <w:rPr>
          <w:rFonts w:ascii="Arial" w:hAnsi="Arial" w:cs="Arial"/>
          <w:color w:val="000000" w:themeColor="text1"/>
          <w:sz w:val="22"/>
          <w:szCs w:val="22"/>
        </w:rPr>
        <w:t>Lending structures</w:t>
      </w:r>
    </w:p>
    <w:p w14:paraId="6EBA4E06" w14:textId="5F5C301E" w:rsidR="00D351A2" w:rsidRPr="00C776E2" w:rsidRDefault="00D351A2" w:rsidP="008C3A17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C776E2">
        <w:rPr>
          <w:rFonts w:ascii="Arial" w:hAnsi="Arial" w:cs="Arial"/>
          <w:color w:val="000000" w:themeColor="text1"/>
          <w:sz w:val="22"/>
          <w:szCs w:val="22"/>
        </w:rPr>
        <w:t>interest structures</w:t>
      </w:r>
    </w:p>
    <w:p w14:paraId="2B88802D" w14:textId="5730DE25" w:rsidR="00D351A2" w:rsidRPr="00D351A2" w:rsidRDefault="00D351A2" w:rsidP="008C3A17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351A2">
        <w:rPr>
          <w:rFonts w:ascii="Arial" w:hAnsi="Arial" w:cs="Arial"/>
          <w:color w:val="000000" w:themeColor="text1"/>
          <w:sz w:val="22"/>
          <w:szCs w:val="22"/>
        </w:rPr>
        <w:t>capital structures</w:t>
      </w:r>
    </w:p>
    <w:p w14:paraId="4E073FC4" w14:textId="596FBF27" w:rsidR="00D351A2" w:rsidRPr="00D351A2" w:rsidRDefault="00D351A2" w:rsidP="008C3A17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351A2">
        <w:rPr>
          <w:rFonts w:ascii="Arial" w:hAnsi="Arial" w:cs="Arial"/>
          <w:color w:val="000000" w:themeColor="text1"/>
          <w:sz w:val="22"/>
          <w:szCs w:val="22"/>
        </w:rPr>
        <w:t>part or fully capitalised loans</w:t>
      </w:r>
    </w:p>
    <w:p w14:paraId="37D28572" w14:textId="77777777" w:rsidR="00D351A2" w:rsidRDefault="00D351A2" w:rsidP="008C3A17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351A2">
        <w:rPr>
          <w:rFonts w:ascii="Arial" w:hAnsi="Arial" w:cs="Arial"/>
          <w:color w:val="000000" w:themeColor="text1"/>
          <w:sz w:val="22"/>
          <w:szCs w:val="22"/>
        </w:rPr>
        <w:t>bridging loans</w:t>
      </w:r>
    </w:p>
    <w:p w14:paraId="5B39ED3D" w14:textId="3CB7E2B0" w:rsidR="00D351A2" w:rsidRDefault="00D351A2" w:rsidP="008C3A17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351A2">
        <w:rPr>
          <w:rFonts w:ascii="Arial" w:hAnsi="Arial" w:cs="Arial"/>
          <w:color w:val="000000" w:themeColor="text1"/>
          <w:sz w:val="22"/>
          <w:szCs w:val="22"/>
        </w:rPr>
        <w:t>reverse equity borrowing</w:t>
      </w:r>
      <w:r w:rsidR="00D62C6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2FBA48B" w14:textId="77777777" w:rsidR="00C468F7" w:rsidRDefault="00C468F7" w:rsidP="00C468F7">
      <w:pPr>
        <w:pStyle w:val="ListParagraph"/>
        <w:spacing w:line="240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14:paraId="176DBFED" w14:textId="12993678" w:rsidR="00C468F7" w:rsidRDefault="005C143B" w:rsidP="008B7C8B">
      <w:pPr>
        <w:pStyle w:val="ListParagraph"/>
        <w:spacing w:line="240" w:lineRule="auto"/>
        <w:ind w:left="142" w:hanging="14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Types of </w:t>
      </w:r>
      <w:r w:rsidR="00C468F7">
        <w:rPr>
          <w:rFonts w:ascii="Arial" w:hAnsi="Arial" w:cs="Arial"/>
          <w:color w:val="000000" w:themeColor="text1"/>
          <w:sz w:val="22"/>
          <w:szCs w:val="22"/>
        </w:rPr>
        <w:t>Personal L</w:t>
      </w:r>
      <w:r w:rsidR="00C82C13">
        <w:rPr>
          <w:rFonts w:ascii="Arial" w:hAnsi="Arial" w:cs="Arial"/>
          <w:color w:val="000000" w:themeColor="text1"/>
          <w:sz w:val="22"/>
          <w:szCs w:val="22"/>
        </w:rPr>
        <w:t xml:space="preserve">oans </w:t>
      </w:r>
    </w:p>
    <w:p w14:paraId="4616DE06" w14:textId="3D35B762" w:rsidR="005C143B" w:rsidRDefault="005C143B" w:rsidP="008B7C8B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Personal loan</w:t>
      </w:r>
    </w:p>
    <w:p w14:paraId="21313B6C" w14:textId="09C22A23" w:rsidR="005C143B" w:rsidRDefault="005C143B" w:rsidP="008B7C8B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Vehicle loan</w:t>
      </w:r>
    </w:p>
    <w:p w14:paraId="6DEBC0BB" w14:textId="76AD2385" w:rsidR="00501390" w:rsidRDefault="00501390" w:rsidP="008B7C8B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Credit card/ Store card </w:t>
      </w:r>
    </w:p>
    <w:p w14:paraId="1DC2BD35" w14:textId="03B261D6" w:rsidR="00C82C13" w:rsidRDefault="00C82C13" w:rsidP="00C468F7">
      <w:pPr>
        <w:pStyle w:val="ListParagraph"/>
        <w:spacing w:line="240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14:paraId="1862FA76" w14:textId="2005C1BF" w:rsidR="00A167D5" w:rsidRDefault="00A167D5" w:rsidP="00A167D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Calculations</w:t>
      </w:r>
      <w:r w:rsidR="0084255D">
        <w:rPr>
          <w:rFonts w:ascii="Arial" w:hAnsi="Arial" w:cs="Arial"/>
          <w:color w:val="000000" w:themeColor="text1"/>
          <w:sz w:val="22"/>
          <w:szCs w:val="22"/>
        </w:rPr>
        <w:t xml:space="preserve"> may include</w:t>
      </w:r>
    </w:p>
    <w:p w14:paraId="614A2A90" w14:textId="7BD0173F" w:rsidR="00A167D5" w:rsidRPr="00466B0D" w:rsidRDefault="00B4642B" w:rsidP="008C3A17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Loan-to-value ratio (</w:t>
      </w:r>
      <w:r w:rsidR="00466B0D" w:rsidRPr="00466B0D">
        <w:rPr>
          <w:rFonts w:ascii="Arial" w:hAnsi="Arial" w:cs="Arial"/>
          <w:color w:val="000000" w:themeColor="text1"/>
          <w:sz w:val="22"/>
          <w:szCs w:val="22"/>
        </w:rPr>
        <w:t>LVR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0A9B258" w14:textId="363D8754" w:rsidR="00466B0D" w:rsidRPr="00466B0D" w:rsidRDefault="008F4301" w:rsidP="008C3A17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Uncommitted monthly income (</w:t>
      </w:r>
      <w:r w:rsidR="00466B0D" w:rsidRPr="00466B0D">
        <w:rPr>
          <w:rFonts w:ascii="Arial" w:hAnsi="Arial" w:cs="Arial"/>
          <w:color w:val="000000" w:themeColor="text1"/>
          <w:sz w:val="22"/>
          <w:szCs w:val="22"/>
        </w:rPr>
        <w:t>UMI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 </w:t>
      </w:r>
    </w:p>
    <w:p w14:paraId="3682277D" w14:textId="69881CA3" w:rsidR="00466B0D" w:rsidRDefault="00FE0A96" w:rsidP="008C3A17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Debt to income (</w:t>
      </w:r>
      <w:r w:rsidR="00466B0D" w:rsidRPr="00466B0D">
        <w:rPr>
          <w:rFonts w:ascii="Arial" w:hAnsi="Arial" w:cs="Arial"/>
          <w:color w:val="000000" w:themeColor="text1"/>
          <w:sz w:val="22"/>
          <w:szCs w:val="22"/>
        </w:rPr>
        <w:t>DTI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 </w:t>
      </w:r>
    </w:p>
    <w:p w14:paraId="208B196A" w14:textId="77777777" w:rsidR="00855B8C" w:rsidRDefault="00855B8C" w:rsidP="008C3A17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4735F">
        <w:rPr>
          <w:rFonts w:ascii="Arial" w:hAnsi="Arial" w:cs="Arial"/>
          <w:color w:val="000000" w:themeColor="text1"/>
          <w:sz w:val="22"/>
          <w:szCs w:val="22"/>
        </w:rPr>
        <w:t>statement of position</w:t>
      </w:r>
    </w:p>
    <w:p w14:paraId="4153E6FA" w14:textId="5D0EEC46" w:rsidR="00855B8C" w:rsidRPr="00A4735F" w:rsidRDefault="00855B8C" w:rsidP="008C3A17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4735F">
        <w:rPr>
          <w:rFonts w:ascii="Arial" w:hAnsi="Arial" w:cs="Arial"/>
          <w:color w:val="000000" w:themeColor="text1"/>
          <w:sz w:val="22"/>
          <w:szCs w:val="22"/>
        </w:rPr>
        <w:t>settlement position.</w:t>
      </w:r>
    </w:p>
    <w:p w14:paraId="128632B4" w14:textId="77777777" w:rsidR="00855B8C" w:rsidRPr="00466B0D" w:rsidRDefault="00855B8C" w:rsidP="00485BD5">
      <w:pPr>
        <w:pStyle w:val="ListParagraph"/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14:paraId="76942B4A" w14:textId="0A7E4BAA" w:rsidR="004115E6" w:rsidRDefault="004115E6" w:rsidP="004115E6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</w:t>
      </w:r>
      <w:r w:rsidRPr="004115E6">
        <w:rPr>
          <w:rFonts w:ascii="Arial" w:hAnsi="Arial" w:cs="Arial"/>
          <w:sz w:val="22"/>
          <w:szCs w:val="22"/>
        </w:rPr>
        <w:t>egal structure</w:t>
      </w:r>
      <w:r w:rsidR="003A43C6">
        <w:rPr>
          <w:rFonts w:ascii="Arial" w:hAnsi="Arial" w:cs="Arial"/>
          <w:sz w:val="22"/>
          <w:szCs w:val="22"/>
        </w:rPr>
        <w:t xml:space="preserve"> may include: </w:t>
      </w:r>
    </w:p>
    <w:p w14:paraId="7B10F49A" w14:textId="01ECE351" w:rsidR="002E2609" w:rsidRPr="002E2609" w:rsidRDefault="002E2609" w:rsidP="008C3A17">
      <w:pPr>
        <w:pStyle w:val="ListParagraph"/>
        <w:keepNext/>
        <w:keepLines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E2609">
        <w:rPr>
          <w:rFonts w:ascii="Arial" w:hAnsi="Arial" w:cs="Arial"/>
          <w:color w:val="000000" w:themeColor="text1"/>
          <w:sz w:val="22"/>
          <w:szCs w:val="22"/>
        </w:rPr>
        <w:t>Trusts</w:t>
      </w:r>
    </w:p>
    <w:p w14:paraId="241FDCCA" w14:textId="2ACF4266" w:rsidR="002E2609" w:rsidRPr="002E2609" w:rsidRDefault="002E2609" w:rsidP="008C3A17">
      <w:pPr>
        <w:pStyle w:val="ListParagraph"/>
        <w:keepNext/>
        <w:keepLines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E2609">
        <w:rPr>
          <w:rFonts w:ascii="Arial" w:hAnsi="Arial" w:cs="Arial"/>
          <w:color w:val="000000" w:themeColor="text1"/>
          <w:sz w:val="22"/>
          <w:szCs w:val="22"/>
        </w:rPr>
        <w:t>companies</w:t>
      </w:r>
    </w:p>
    <w:p w14:paraId="2E266EAC" w14:textId="6747C547" w:rsidR="002E2609" w:rsidRPr="002E2609" w:rsidRDefault="002E2609" w:rsidP="008C3A17">
      <w:pPr>
        <w:pStyle w:val="ListParagraph"/>
        <w:keepNext/>
        <w:keepLines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E2609">
        <w:rPr>
          <w:rFonts w:ascii="Arial" w:hAnsi="Arial" w:cs="Arial"/>
          <w:color w:val="000000" w:themeColor="text1"/>
          <w:sz w:val="22"/>
          <w:szCs w:val="22"/>
        </w:rPr>
        <w:t>sole traders</w:t>
      </w:r>
    </w:p>
    <w:p w14:paraId="60F06393" w14:textId="7EF9B998" w:rsidR="002E2609" w:rsidRPr="002E2609" w:rsidRDefault="002E2609" w:rsidP="008C3A17">
      <w:pPr>
        <w:pStyle w:val="ListParagraph"/>
        <w:keepNext/>
        <w:keepLines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E2609">
        <w:rPr>
          <w:rFonts w:ascii="Arial" w:hAnsi="Arial" w:cs="Arial"/>
          <w:color w:val="000000" w:themeColor="text1"/>
          <w:sz w:val="22"/>
          <w:szCs w:val="22"/>
        </w:rPr>
        <w:t>partnerships</w:t>
      </w:r>
    </w:p>
    <w:p w14:paraId="1794ED58" w14:textId="5CC39330" w:rsidR="002E2609" w:rsidRPr="002E2609" w:rsidRDefault="002E2609" w:rsidP="008C3A17">
      <w:pPr>
        <w:pStyle w:val="ListParagraph"/>
        <w:keepNext/>
        <w:keepLines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E2609">
        <w:rPr>
          <w:rFonts w:ascii="Arial" w:hAnsi="Arial" w:cs="Arial"/>
          <w:color w:val="000000" w:themeColor="text1"/>
          <w:sz w:val="22"/>
          <w:szCs w:val="22"/>
        </w:rPr>
        <w:t>limited liability companies</w:t>
      </w:r>
    </w:p>
    <w:p w14:paraId="581CE2FB" w14:textId="55F27ECA" w:rsidR="002E2609" w:rsidRPr="002E2609" w:rsidRDefault="002E2609" w:rsidP="008C3A17">
      <w:pPr>
        <w:pStyle w:val="ListParagraph"/>
        <w:keepNext/>
        <w:keepLines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E2609">
        <w:rPr>
          <w:rFonts w:ascii="Arial" w:hAnsi="Arial" w:cs="Arial"/>
          <w:color w:val="000000" w:themeColor="text1"/>
          <w:sz w:val="22"/>
          <w:szCs w:val="22"/>
        </w:rPr>
        <w:t xml:space="preserve">look-through companies. </w:t>
      </w:r>
    </w:p>
    <w:p w14:paraId="59ADE1A3" w14:textId="011CCCF2" w:rsidR="00237DF3" w:rsidRPr="00A4735F" w:rsidRDefault="00A0246E" w:rsidP="00A4735F">
      <w:p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A4735F" w:rsidRPr="00D65F2E">
        <w:rPr>
          <w:rFonts w:ascii="Arial" w:hAnsi="Arial" w:cs="Arial"/>
          <w:sz w:val="22"/>
          <w:szCs w:val="22"/>
        </w:rPr>
        <w:t>elevant financial ratios</w:t>
      </w:r>
    </w:p>
    <w:p w14:paraId="060FE3E3" w14:textId="1796ABB1" w:rsidR="00A4735F" w:rsidRPr="00A4735F" w:rsidRDefault="00A4735F" w:rsidP="008C3A17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4735F">
        <w:rPr>
          <w:rFonts w:ascii="Arial" w:hAnsi="Arial" w:cs="Arial"/>
          <w:color w:val="000000" w:themeColor="text1"/>
          <w:sz w:val="22"/>
          <w:szCs w:val="22"/>
        </w:rPr>
        <w:t>gross yield</w:t>
      </w:r>
    </w:p>
    <w:p w14:paraId="46FE8738" w14:textId="2499175E" w:rsidR="00A4735F" w:rsidRPr="00A4735F" w:rsidRDefault="00A4735F" w:rsidP="008C3A17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4735F">
        <w:rPr>
          <w:rFonts w:ascii="Arial" w:hAnsi="Arial" w:cs="Arial"/>
          <w:color w:val="000000" w:themeColor="text1"/>
          <w:sz w:val="22"/>
          <w:szCs w:val="22"/>
        </w:rPr>
        <w:t>net yield</w:t>
      </w:r>
    </w:p>
    <w:p w14:paraId="79E41D59" w14:textId="5C4518DE" w:rsidR="00A4735F" w:rsidRPr="00A4735F" w:rsidRDefault="00A4735F" w:rsidP="008C3A17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4735F">
        <w:rPr>
          <w:rFonts w:ascii="Arial" w:hAnsi="Arial" w:cs="Arial"/>
          <w:color w:val="000000" w:themeColor="text1"/>
          <w:sz w:val="22"/>
          <w:szCs w:val="22"/>
        </w:rPr>
        <w:t>debt coverage ratio</w:t>
      </w:r>
    </w:p>
    <w:p w14:paraId="1929087D" w14:textId="61D7EF96" w:rsidR="00A4735F" w:rsidRPr="00A4735F" w:rsidRDefault="00A4735F" w:rsidP="008C3A17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A4735F">
        <w:rPr>
          <w:rFonts w:ascii="Arial" w:hAnsi="Arial" w:cs="Arial"/>
          <w:color w:val="000000" w:themeColor="text1"/>
          <w:sz w:val="22"/>
          <w:szCs w:val="22"/>
        </w:rPr>
        <w:t>debt/equity ratio</w:t>
      </w:r>
    </w:p>
    <w:p w14:paraId="5253E112" w14:textId="7811955C" w:rsidR="00A4735F" w:rsidRPr="008B7C8B" w:rsidRDefault="00022C59" w:rsidP="008B7C8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="00A4735F" w:rsidRPr="008B7C8B">
        <w:rPr>
          <w:rFonts w:ascii="Arial" w:hAnsi="Arial" w:cs="Arial"/>
          <w:color w:val="000000" w:themeColor="text1"/>
          <w:sz w:val="22"/>
          <w:szCs w:val="22"/>
        </w:rPr>
        <w:t xml:space="preserve">ommon valuation methodologies: </w:t>
      </w:r>
      <w:r>
        <w:rPr>
          <w:rFonts w:ascii="Arial" w:hAnsi="Arial" w:cs="Arial"/>
          <w:color w:val="000000" w:themeColor="text1"/>
          <w:sz w:val="22"/>
          <w:szCs w:val="22"/>
        </w:rPr>
        <w:t>registered, desktop</w:t>
      </w:r>
      <w:r w:rsidR="00595FE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607E6">
        <w:rPr>
          <w:rFonts w:ascii="Arial" w:hAnsi="Arial" w:cs="Arial"/>
          <w:color w:val="000000" w:themeColor="text1"/>
          <w:sz w:val="22"/>
          <w:szCs w:val="22"/>
        </w:rPr>
        <w:t xml:space="preserve">Quotable Value (QV). </w:t>
      </w:r>
    </w:p>
    <w:p w14:paraId="68800062" w14:textId="55743CB0" w:rsidR="00E91256" w:rsidRDefault="00E91256" w:rsidP="00E91256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D5C91">
        <w:rPr>
          <w:rFonts w:ascii="Arial" w:hAnsi="Arial" w:cs="Arial"/>
          <w:sz w:val="22"/>
          <w:szCs w:val="22"/>
        </w:rPr>
        <w:t>ocumentation for the l</w:t>
      </w:r>
      <w:r w:rsidR="00067F56">
        <w:rPr>
          <w:rFonts w:ascii="Arial" w:hAnsi="Arial" w:cs="Arial"/>
          <w:sz w:val="22"/>
          <w:szCs w:val="22"/>
        </w:rPr>
        <w:t>ending</w:t>
      </w:r>
      <w:r w:rsidRPr="00DD5C91">
        <w:rPr>
          <w:rFonts w:ascii="Arial" w:hAnsi="Arial" w:cs="Arial"/>
          <w:sz w:val="22"/>
          <w:szCs w:val="22"/>
        </w:rPr>
        <w:t xml:space="preserve"> application</w:t>
      </w:r>
      <w:r>
        <w:rPr>
          <w:rFonts w:ascii="Arial" w:hAnsi="Arial" w:cs="Arial"/>
          <w:sz w:val="22"/>
          <w:szCs w:val="22"/>
        </w:rPr>
        <w:t xml:space="preserve"> </w:t>
      </w:r>
      <w:r w:rsidR="00067F56">
        <w:rPr>
          <w:rFonts w:ascii="Arial" w:hAnsi="Arial" w:cs="Arial"/>
          <w:sz w:val="22"/>
          <w:szCs w:val="22"/>
        </w:rPr>
        <w:t xml:space="preserve">may include </w:t>
      </w:r>
    </w:p>
    <w:p w14:paraId="119BAEE8" w14:textId="77777777" w:rsidR="00E91256" w:rsidRPr="002F33D6" w:rsidRDefault="00E91256" w:rsidP="00E91256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F33D6">
        <w:rPr>
          <w:rFonts w:ascii="Arial" w:hAnsi="Arial" w:cs="Arial"/>
          <w:color w:val="000000" w:themeColor="text1"/>
          <w:sz w:val="22"/>
          <w:szCs w:val="22"/>
        </w:rPr>
        <w:t>diary note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1C91C510" w14:textId="77777777" w:rsidR="00E91256" w:rsidRPr="002F33D6" w:rsidRDefault="00E91256" w:rsidP="00E91256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F33D6">
        <w:rPr>
          <w:rFonts w:ascii="Arial" w:hAnsi="Arial" w:cs="Arial"/>
          <w:color w:val="000000" w:themeColor="text1"/>
          <w:sz w:val="22"/>
          <w:szCs w:val="22"/>
        </w:rPr>
        <w:t>application form</w:t>
      </w:r>
    </w:p>
    <w:p w14:paraId="1F41B4EE" w14:textId="77777777" w:rsidR="00E91256" w:rsidRPr="002F33D6" w:rsidRDefault="00E91256" w:rsidP="00E91256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F33D6">
        <w:rPr>
          <w:rFonts w:ascii="Arial" w:hAnsi="Arial" w:cs="Arial"/>
          <w:color w:val="000000" w:themeColor="text1"/>
          <w:sz w:val="22"/>
          <w:szCs w:val="22"/>
        </w:rPr>
        <w:t>authority and declaration</w:t>
      </w:r>
    </w:p>
    <w:p w14:paraId="36C6D831" w14:textId="77777777" w:rsidR="00E91256" w:rsidRPr="002F33D6" w:rsidRDefault="00E91256" w:rsidP="00E91256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F33D6">
        <w:rPr>
          <w:rFonts w:ascii="Arial" w:hAnsi="Arial" w:cs="Arial"/>
          <w:color w:val="000000" w:themeColor="text1"/>
          <w:sz w:val="22"/>
          <w:szCs w:val="22"/>
        </w:rPr>
        <w:t>proof of income</w:t>
      </w:r>
    </w:p>
    <w:p w14:paraId="05609F74" w14:textId="77777777" w:rsidR="00E91256" w:rsidRPr="002F33D6" w:rsidRDefault="00E91256" w:rsidP="00E91256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F33D6">
        <w:rPr>
          <w:rFonts w:ascii="Arial" w:hAnsi="Arial" w:cs="Arial"/>
          <w:color w:val="000000" w:themeColor="text1"/>
          <w:sz w:val="22"/>
          <w:szCs w:val="22"/>
        </w:rPr>
        <w:t>proof of identity</w:t>
      </w:r>
    </w:p>
    <w:p w14:paraId="66D1DBD6" w14:textId="77777777" w:rsidR="00E91256" w:rsidRPr="002F33D6" w:rsidRDefault="00E91256" w:rsidP="00E91256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F33D6">
        <w:rPr>
          <w:rFonts w:ascii="Arial" w:hAnsi="Arial" w:cs="Arial"/>
          <w:color w:val="000000" w:themeColor="text1"/>
          <w:sz w:val="22"/>
          <w:szCs w:val="22"/>
        </w:rPr>
        <w:t xml:space="preserve">key dates </w:t>
      </w:r>
    </w:p>
    <w:p w14:paraId="1BEB9183" w14:textId="77777777" w:rsidR="00E91256" w:rsidRPr="002F33D6" w:rsidRDefault="00E91256" w:rsidP="00E91256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F33D6">
        <w:rPr>
          <w:rFonts w:ascii="Arial" w:hAnsi="Arial" w:cs="Arial"/>
          <w:color w:val="000000" w:themeColor="text1"/>
          <w:sz w:val="22"/>
          <w:szCs w:val="22"/>
        </w:rPr>
        <w:t>details of other professional parties</w:t>
      </w:r>
    </w:p>
    <w:p w14:paraId="373A103A" w14:textId="77777777" w:rsidR="00E91256" w:rsidRPr="00A0246E" w:rsidRDefault="00E91256" w:rsidP="00E91256">
      <w:pPr>
        <w:spacing w:line="240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A0246E">
        <w:rPr>
          <w:rFonts w:ascii="Arial" w:hAnsi="Arial" w:cs="Arial"/>
          <w:color w:val="000000" w:themeColor="text1"/>
          <w:sz w:val="22"/>
          <w:szCs w:val="22"/>
        </w:rPr>
        <w:t>ay also include– financial history, registered valuation, sale and purchase agreement, building contract, trust deed, certificate of incorporation, proof of residency, rental agreement.</w:t>
      </w:r>
    </w:p>
    <w:p w14:paraId="400C4EA4" w14:textId="77777777" w:rsidR="00E91256" w:rsidRPr="00A4735F" w:rsidRDefault="00E91256" w:rsidP="008B7C8B">
      <w:pPr>
        <w:pStyle w:val="ListParagraph"/>
        <w:spacing w:line="240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0A56241B" w14:textId="77D61BF6" w:rsidR="0049625D" w:rsidRPr="0049625D" w:rsidRDefault="0049625D" w:rsidP="00345A58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9625D">
        <w:rPr>
          <w:rFonts w:ascii="Arial" w:hAnsi="Arial" w:cs="Arial"/>
          <w:color w:val="000000" w:themeColor="text1"/>
          <w:sz w:val="22"/>
          <w:szCs w:val="22"/>
        </w:rPr>
        <w:t>Anti-Money Laundering and Countering Financing of Terrorism Act 2009</w:t>
      </w:r>
    </w:p>
    <w:p w14:paraId="25B3E019" w14:textId="580CA300" w:rsidR="0049625D" w:rsidRPr="0049625D" w:rsidRDefault="0049625D" w:rsidP="00345A58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9625D">
        <w:rPr>
          <w:rFonts w:ascii="Arial" w:hAnsi="Arial" w:cs="Arial"/>
          <w:color w:val="000000" w:themeColor="text1"/>
          <w:sz w:val="22"/>
          <w:szCs w:val="22"/>
        </w:rPr>
        <w:t>Code of Banking Practice 2018</w:t>
      </w:r>
    </w:p>
    <w:p w14:paraId="00A8F315" w14:textId="274E0FD5" w:rsidR="0049625D" w:rsidRPr="0049625D" w:rsidRDefault="0049625D" w:rsidP="00345A58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hyperlink r:id="rId11" w:history="1">
        <w:r w:rsidRPr="00AD0227">
          <w:rPr>
            <w:rStyle w:val="Hyperlink"/>
            <w:rFonts w:ascii="Arial" w:hAnsi="Arial" w:cs="Arial"/>
            <w:sz w:val="22"/>
            <w:szCs w:val="22"/>
          </w:rPr>
          <w:t>Code of Professional Conduct for Financial Advice Services</w:t>
        </w:r>
      </w:hyperlink>
    </w:p>
    <w:p w14:paraId="05576A70" w14:textId="77777777" w:rsidR="00345A58" w:rsidRDefault="0049625D" w:rsidP="00345A58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57807">
        <w:rPr>
          <w:rFonts w:ascii="Arial" w:hAnsi="Arial" w:cs="Arial"/>
          <w:color w:val="000000" w:themeColor="text1"/>
          <w:sz w:val="22"/>
          <w:szCs w:val="22"/>
        </w:rPr>
        <w:t>Consumer Guarantees Act 1993</w:t>
      </w:r>
    </w:p>
    <w:p w14:paraId="059AEC56" w14:textId="77777777" w:rsidR="00345A58" w:rsidRPr="005F3721" w:rsidRDefault="00345A58" w:rsidP="00345A58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Style w:val="Hyperlink"/>
          <w:rFonts w:ascii="Arial" w:hAnsi="Arial" w:cs="Arial"/>
          <w:sz w:val="22"/>
          <w:szCs w:val="22"/>
        </w:rPr>
      </w:pPr>
      <w:r w:rsidRPr="00505834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2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  <w:r w:rsidRPr="005F3721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236941B6" w14:textId="77777777" w:rsidR="00345A58" w:rsidRDefault="00345A58" w:rsidP="00345A58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350E37">
        <w:rPr>
          <w:rFonts w:ascii="Arial" w:hAnsi="Arial" w:cs="Arial"/>
          <w:color w:val="000000" w:themeColor="text1"/>
          <w:sz w:val="22"/>
          <w:szCs w:val="22"/>
        </w:rPr>
        <w:t>Fair Trading Act 1986</w:t>
      </w:r>
    </w:p>
    <w:p w14:paraId="180AABE0" w14:textId="77777777" w:rsidR="00345A58" w:rsidRPr="00350E37" w:rsidRDefault="00345A58" w:rsidP="00345A58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hyperlink r:id="rId13" w:history="1">
        <w:r w:rsidRPr="00377608">
          <w:rPr>
            <w:rStyle w:val="Hyperlink"/>
            <w:rFonts w:ascii="Arial" w:hAnsi="Arial" w:cs="Arial"/>
            <w:sz w:val="22"/>
            <w:szCs w:val="22"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sz w:val="22"/>
            <w:szCs w:val="22"/>
          </w:rPr>
          <w:t>(July 2024)</w:t>
        </w:r>
      </w:hyperlink>
    </w:p>
    <w:p w14:paraId="7796236A" w14:textId="77777777" w:rsidR="005C0657" w:rsidRPr="007F1FBE" w:rsidRDefault="005C0657" w:rsidP="00345A58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Financial Markets Authority- </w:t>
      </w:r>
      <w:hyperlink r:id="rId14" w:history="1">
        <w:r w:rsidRPr="007F1FBE">
          <w:rPr>
            <w:rStyle w:val="Hyperlink"/>
            <w:rFonts w:ascii="Arial" w:hAnsi="Arial" w:cs="Arial"/>
            <w:sz w:val="22"/>
            <w:szCs w:val="22"/>
          </w:rPr>
          <w:t>Understanding Artificial Intelligence in Financial Services (July 2024)</w:t>
        </w:r>
      </w:hyperlink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 by Mikayla </w:t>
      </w:r>
      <w:proofErr w:type="spellStart"/>
      <w:r w:rsidRPr="007F1FBE">
        <w:rPr>
          <w:rFonts w:ascii="Arial" w:hAnsi="Arial" w:cs="Arial"/>
          <w:color w:val="000000" w:themeColor="text1"/>
          <w:sz w:val="22"/>
          <w:szCs w:val="22"/>
        </w:rPr>
        <w:t>Pakinga</w:t>
      </w:r>
      <w:proofErr w:type="spellEnd"/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-Lawson, Amie White, Stuart Johnson  </w:t>
      </w:r>
    </w:p>
    <w:p w14:paraId="15361403" w14:textId="0093167B" w:rsidR="0049625D" w:rsidRPr="0049625D" w:rsidRDefault="0049625D" w:rsidP="00345A58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9625D">
        <w:rPr>
          <w:rFonts w:ascii="Arial" w:hAnsi="Arial" w:cs="Arial"/>
          <w:color w:val="000000" w:themeColor="text1"/>
          <w:sz w:val="22"/>
          <w:szCs w:val="22"/>
        </w:rPr>
        <w:t>Financial Markets Conduct Act 2013</w:t>
      </w:r>
    </w:p>
    <w:p w14:paraId="56AA688B" w14:textId="28D7F9B3" w:rsidR="0049625D" w:rsidRDefault="0049625D" w:rsidP="00345A58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9625D">
        <w:rPr>
          <w:rFonts w:ascii="Arial" w:hAnsi="Arial" w:cs="Arial"/>
          <w:color w:val="000000" w:themeColor="text1"/>
          <w:sz w:val="22"/>
          <w:szCs w:val="22"/>
        </w:rPr>
        <w:t>Financial Services Legislation Amendment Act 2019</w:t>
      </w:r>
    </w:p>
    <w:p w14:paraId="25001B5B" w14:textId="676CB701" w:rsidR="00485BD5" w:rsidRPr="00C2688D" w:rsidRDefault="00485BD5" w:rsidP="00345A58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rPr>
          <w:rFonts w:cs="Arial"/>
          <w:szCs w:val="24"/>
        </w:rPr>
      </w:pPr>
      <w:r w:rsidRPr="00C2688D">
        <w:rPr>
          <w:rFonts w:ascii="Arial" w:hAnsi="Arial" w:cs="Arial"/>
          <w:color w:val="000000" w:themeColor="text1"/>
          <w:sz w:val="22"/>
          <w:szCs w:val="22"/>
        </w:rPr>
        <w:t xml:space="preserve">ISO 22222 Personal Financial Planning - Requirements for personal financial planners, available </w:t>
      </w:r>
      <w:r>
        <w:rPr>
          <w:rFonts w:ascii="Arial" w:hAnsi="Arial" w:cs="Arial"/>
          <w:color w:val="000000" w:themeColor="text1"/>
          <w:sz w:val="22"/>
          <w:szCs w:val="22"/>
        </w:rPr>
        <w:t>from</w:t>
      </w:r>
      <w:r w:rsidRPr="00C2688D">
        <w:rPr>
          <w:rFonts w:cs="Arial"/>
          <w:szCs w:val="24"/>
        </w:rPr>
        <w:t xml:space="preserve"> </w:t>
      </w:r>
      <w:hyperlink r:id="rId15" w:history="1">
        <w:r w:rsidRPr="00C2688D">
          <w:rPr>
            <w:rStyle w:val="Hyperlink"/>
            <w:rFonts w:ascii="Arial" w:hAnsi="Arial" w:cs="Arial"/>
            <w:sz w:val="22"/>
            <w:szCs w:val="22"/>
          </w:rPr>
          <w:t>https://www.iso.org</w:t>
        </w:r>
      </w:hyperlink>
    </w:p>
    <w:p w14:paraId="627971D6" w14:textId="7A36F167" w:rsidR="0049625D" w:rsidRPr="0049625D" w:rsidRDefault="0049625D" w:rsidP="00345A58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9625D">
        <w:rPr>
          <w:rFonts w:ascii="Arial" w:hAnsi="Arial" w:cs="Arial"/>
          <w:color w:val="000000" w:themeColor="text1"/>
          <w:sz w:val="22"/>
          <w:szCs w:val="22"/>
        </w:rPr>
        <w:t>KiwiSaver Act 2006</w:t>
      </w:r>
    </w:p>
    <w:p w14:paraId="68111AAC" w14:textId="6883F2A2" w:rsidR="0049625D" w:rsidRPr="0049625D" w:rsidRDefault="0049625D" w:rsidP="00345A58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9625D">
        <w:rPr>
          <w:rFonts w:ascii="Arial" w:hAnsi="Arial" w:cs="Arial"/>
          <w:color w:val="000000" w:themeColor="text1"/>
          <w:sz w:val="22"/>
          <w:szCs w:val="22"/>
        </w:rPr>
        <w:t xml:space="preserve">Reserve Bank of New Zealand Act </w:t>
      </w:r>
      <w:r w:rsidR="00AD0227">
        <w:rPr>
          <w:rFonts w:ascii="Arial" w:hAnsi="Arial" w:cs="Arial"/>
          <w:color w:val="000000" w:themeColor="text1"/>
          <w:sz w:val="22"/>
          <w:szCs w:val="22"/>
        </w:rPr>
        <w:t>2021</w:t>
      </w:r>
    </w:p>
    <w:p w14:paraId="733922F4" w14:textId="467C1C15" w:rsidR="0049625D" w:rsidRPr="0049625D" w:rsidRDefault="0049625D" w:rsidP="00345A58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9625D">
        <w:rPr>
          <w:rFonts w:ascii="Arial" w:hAnsi="Arial" w:cs="Arial"/>
          <w:color w:val="000000" w:themeColor="text1"/>
          <w:sz w:val="22"/>
          <w:szCs w:val="22"/>
        </w:rPr>
        <w:t xml:space="preserve">Responsible Lending Guidelines, published by the Financial Services Federation, Wellington, 2019.  Available at </w:t>
      </w:r>
      <w:hyperlink r:id="rId16" w:history="1">
        <w:r w:rsidR="005C0657" w:rsidRPr="005C0657">
          <w:rPr>
            <w:rStyle w:val="Hyperlink"/>
            <w:rFonts w:ascii="Arial" w:hAnsi="Arial"/>
            <w:sz w:val="22"/>
            <w:szCs w:val="22"/>
          </w:rPr>
          <w:t>http://www.fsf.org.nz/</w:t>
        </w:r>
      </w:hyperlink>
      <w:r w:rsidR="005C0657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14:paraId="2634D9AA" w14:textId="44465EB9" w:rsidR="007C02FD" w:rsidRDefault="005C0657" w:rsidP="00345A58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49625D" w:rsidRPr="0049625D">
        <w:rPr>
          <w:rFonts w:ascii="Arial" w:hAnsi="Arial" w:cs="Arial"/>
          <w:color w:val="000000" w:themeColor="text1"/>
          <w:sz w:val="22"/>
          <w:szCs w:val="22"/>
        </w:rPr>
        <w:t xml:space="preserve">elevant industry codes of </w:t>
      </w:r>
      <w:proofErr w:type="gramStart"/>
      <w:r w:rsidR="0049625D" w:rsidRPr="0049625D">
        <w:rPr>
          <w:rFonts w:ascii="Arial" w:hAnsi="Arial" w:cs="Arial"/>
          <w:color w:val="000000" w:themeColor="text1"/>
          <w:sz w:val="22"/>
          <w:szCs w:val="22"/>
        </w:rPr>
        <w:t>conduct</w:t>
      </w:r>
      <w:r w:rsidR="002C3486">
        <w:rPr>
          <w:rFonts w:ascii="Arial" w:hAnsi="Arial" w:cs="Arial"/>
          <w:color w:val="000000" w:themeColor="text1"/>
          <w:sz w:val="22"/>
          <w:szCs w:val="22"/>
        </w:rPr>
        <w:t>;</w:t>
      </w:r>
      <w:proofErr w:type="gramEnd"/>
    </w:p>
    <w:p w14:paraId="71FEEF1C" w14:textId="29022B42" w:rsidR="0049625D" w:rsidRPr="0049625D" w:rsidRDefault="00345A58" w:rsidP="00345A58">
      <w:pPr>
        <w:pStyle w:val="ListParagraph"/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7205B" w:rsidRPr="001C1F32">
        <w:rPr>
          <w:rFonts w:ascii="Arial" w:hAnsi="Arial" w:cs="Arial"/>
          <w:sz w:val="22"/>
          <w:szCs w:val="22"/>
        </w:rPr>
        <w:t>and all subsequent amendments and replacements.</w:t>
      </w:r>
    </w:p>
    <w:p w14:paraId="4ED5F285" w14:textId="77777777" w:rsidR="00E3621B" w:rsidRDefault="00E3621B" w:rsidP="00345A58">
      <w:pPr>
        <w:pStyle w:val="ListParagraph"/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78593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785933" w:rsidRPr="007950E6" w:rsidRDefault="00785933" w:rsidP="0078593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0837D2DD" w:rsidR="00785933" w:rsidRPr="002205DA" w:rsidRDefault="00785933" w:rsidP="0078593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78593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785933" w:rsidRPr="007950E6" w:rsidRDefault="00785933" w:rsidP="00785933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0A12473" w:rsidR="00785933" w:rsidRPr="004046BA" w:rsidRDefault="00785933" w:rsidP="0078593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Sector&gt; Financial Services&gt; Professional Practice </w:t>
            </w:r>
          </w:p>
        </w:tc>
      </w:tr>
      <w:tr w:rsidR="0078593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785933" w:rsidRPr="004046BA" w:rsidRDefault="00785933" w:rsidP="00785933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56B49FC1" w:rsidR="00785933" w:rsidRPr="004046BA" w:rsidRDefault="004D1580" w:rsidP="0078593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58E33C9B" w:rsidR="00D70473" w:rsidRPr="004046BA" w:rsidRDefault="00E5467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571FE8CE" w:rsidR="00D70473" w:rsidRPr="004046BA" w:rsidRDefault="001664C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replaces unit standard </w:t>
            </w:r>
            <w:r w:rsidR="00B354C3">
              <w:rPr>
                <w:rFonts w:ascii="Arial" w:hAnsi="Arial" w:cs="Arial"/>
                <w:sz w:val="22"/>
                <w:szCs w:val="22"/>
              </w:rPr>
              <w:t>31877</w:t>
            </w:r>
            <w:r w:rsidR="00E5467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6F723097" w:rsidR="00D70473" w:rsidRPr="004046BA" w:rsidRDefault="00B354C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5467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03FBBEAE" w14:textId="01521063" w:rsidR="002A5787" w:rsidRPr="00C302FE" w:rsidRDefault="002A5787" w:rsidP="002A5787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7" w:history="1">
        <w:r w:rsidRPr="00E05A10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p w14:paraId="20E4A90A" w14:textId="6BCECE08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CEA71" w14:textId="77777777" w:rsidR="004F0EA5" w:rsidRDefault="004F0EA5" w:rsidP="000E4D2B">
      <w:pPr>
        <w:spacing w:after="0" w:line="240" w:lineRule="auto"/>
      </w:pPr>
      <w:r>
        <w:separator/>
      </w:r>
    </w:p>
  </w:endnote>
  <w:endnote w:type="continuationSeparator" w:id="0">
    <w:p w14:paraId="5DF01C3A" w14:textId="77777777" w:rsidR="004F0EA5" w:rsidRDefault="004F0EA5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6AB4" w14:textId="77777777" w:rsidR="008B7C8B" w:rsidRDefault="008B7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693F63C7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E3692D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2AA79" w14:textId="77777777" w:rsidR="008B7C8B" w:rsidRDefault="008B7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AD7BB" w14:textId="77777777" w:rsidR="004F0EA5" w:rsidRDefault="004F0EA5" w:rsidP="000E4D2B">
      <w:pPr>
        <w:spacing w:after="0" w:line="240" w:lineRule="auto"/>
      </w:pPr>
      <w:r>
        <w:separator/>
      </w:r>
    </w:p>
  </w:footnote>
  <w:footnote w:type="continuationSeparator" w:id="0">
    <w:p w14:paraId="1953FB85" w14:textId="77777777" w:rsidR="004F0EA5" w:rsidRDefault="004F0EA5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8F1" w14:textId="61DF5469" w:rsidR="008B7C8B" w:rsidRDefault="008B7C8B">
    <w:pPr>
      <w:pStyle w:val="Header"/>
    </w:pPr>
    <w:r>
      <w:rPr>
        <w:noProof/>
      </w:rPr>
      <w:pict w14:anchorId="531183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1297" o:spid="_x0000_s1026" type="#_x0000_t136" style="position:absolute;margin-left:0;margin-top:0;width:541.05pt;height:162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0B85819C" w:rsidR="007066D6" w:rsidRDefault="008B7C8B">
    <w:pPr>
      <w:pStyle w:val="Header"/>
    </w:pPr>
    <w:r>
      <w:rPr>
        <w:noProof/>
      </w:rPr>
      <w:pict w14:anchorId="6BA748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1298" o:spid="_x0000_s1027" type="#_x0000_t136" style="position:absolute;margin-left:0;margin-top:0;width:541.05pt;height:162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E959" w14:textId="6666F65F" w:rsidR="008B7C8B" w:rsidRDefault="008B7C8B">
    <w:pPr>
      <w:pStyle w:val="Header"/>
    </w:pPr>
    <w:r>
      <w:rPr>
        <w:noProof/>
      </w:rPr>
      <w:pict w14:anchorId="488D0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1296" o:spid="_x0000_s1025" type="#_x0000_t136" style="position:absolute;margin-left:0;margin-top:0;width:541.05pt;height:162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F5BE00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31958"/>
    <w:multiLevelType w:val="hybridMultilevel"/>
    <w:tmpl w:val="B30A16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6368A"/>
    <w:multiLevelType w:val="hybridMultilevel"/>
    <w:tmpl w:val="1F50A08A"/>
    <w:lvl w:ilvl="0" w:tplc="1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57039AB"/>
    <w:multiLevelType w:val="hybridMultilevel"/>
    <w:tmpl w:val="10B67D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61498"/>
    <w:multiLevelType w:val="hybridMultilevel"/>
    <w:tmpl w:val="864A258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946128">
    <w:abstractNumId w:val="1"/>
  </w:num>
  <w:num w:numId="2" w16cid:durableId="939338842">
    <w:abstractNumId w:val="6"/>
  </w:num>
  <w:num w:numId="3" w16cid:durableId="1086147032">
    <w:abstractNumId w:val="0"/>
  </w:num>
  <w:num w:numId="4" w16cid:durableId="280304268">
    <w:abstractNumId w:val="2"/>
  </w:num>
  <w:num w:numId="5" w16cid:durableId="1930456949">
    <w:abstractNumId w:val="3"/>
  </w:num>
  <w:num w:numId="6" w16cid:durableId="464853608">
    <w:abstractNumId w:val="4"/>
  </w:num>
  <w:num w:numId="7" w16cid:durableId="172887028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5996"/>
    <w:rsid w:val="000068B9"/>
    <w:rsid w:val="00011D6D"/>
    <w:rsid w:val="00012710"/>
    <w:rsid w:val="00012F02"/>
    <w:rsid w:val="00022C59"/>
    <w:rsid w:val="000231B5"/>
    <w:rsid w:val="00030C56"/>
    <w:rsid w:val="00033356"/>
    <w:rsid w:val="00044F83"/>
    <w:rsid w:val="00046FFC"/>
    <w:rsid w:val="00054435"/>
    <w:rsid w:val="00057807"/>
    <w:rsid w:val="00066CBD"/>
    <w:rsid w:val="00067F56"/>
    <w:rsid w:val="00070812"/>
    <w:rsid w:val="00085BF7"/>
    <w:rsid w:val="0008628A"/>
    <w:rsid w:val="000904D1"/>
    <w:rsid w:val="000920E3"/>
    <w:rsid w:val="000941C7"/>
    <w:rsid w:val="00095440"/>
    <w:rsid w:val="000A01B4"/>
    <w:rsid w:val="000A5CBF"/>
    <w:rsid w:val="000A755F"/>
    <w:rsid w:val="000B0F16"/>
    <w:rsid w:val="000C7321"/>
    <w:rsid w:val="000D1A7E"/>
    <w:rsid w:val="000D628B"/>
    <w:rsid w:val="000D7AF5"/>
    <w:rsid w:val="000E4D2B"/>
    <w:rsid w:val="000E5A36"/>
    <w:rsid w:val="00101F1B"/>
    <w:rsid w:val="00102389"/>
    <w:rsid w:val="001061EF"/>
    <w:rsid w:val="00110689"/>
    <w:rsid w:val="0012611D"/>
    <w:rsid w:val="00133EE5"/>
    <w:rsid w:val="001354F6"/>
    <w:rsid w:val="00143C2A"/>
    <w:rsid w:val="001516A8"/>
    <w:rsid w:val="0015191A"/>
    <w:rsid w:val="00160821"/>
    <w:rsid w:val="001664C2"/>
    <w:rsid w:val="001709E9"/>
    <w:rsid w:val="00170D99"/>
    <w:rsid w:val="001726CC"/>
    <w:rsid w:val="00176D13"/>
    <w:rsid w:val="00180BE0"/>
    <w:rsid w:val="00183FBC"/>
    <w:rsid w:val="001A0282"/>
    <w:rsid w:val="001A1A7D"/>
    <w:rsid w:val="001B0110"/>
    <w:rsid w:val="001B3C76"/>
    <w:rsid w:val="001C0074"/>
    <w:rsid w:val="001C547E"/>
    <w:rsid w:val="001D66E8"/>
    <w:rsid w:val="00200DAD"/>
    <w:rsid w:val="00205924"/>
    <w:rsid w:val="0020717C"/>
    <w:rsid w:val="002153A4"/>
    <w:rsid w:val="00217970"/>
    <w:rsid w:val="002205DA"/>
    <w:rsid w:val="00221CF9"/>
    <w:rsid w:val="00221E10"/>
    <w:rsid w:val="00222548"/>
    <w:rsid w:val="0022587B"/>
    <w:rsid w:val="00231619"/>
    <w:rsid w:val="00232403"/>
    <w:rsid w:val="00233581"/>
    <w:rsid w:val="00237DF3"/>
    <w:rsid w:val="002410A6"/>
    <w:rsid w:val="00246866"/>
    <w:rsid w:val="0025519D"/>
    <w:rsid w:val="00255C11"/>
    <w:rsid w:val="00255F06"/>
    <w:rsid w:val="00256F75"/>
    <w:rsid w:val="002579E2"/>
    <w:rsid w:val="002636A4"/>
    <w:rsid w:val="0026513F"/>
    <w:rsid w:val="00287A7C"/>
    <w:rsid w:val="002A5787"/>
    <w:rsid w:val="002A755F"/>
    <w:rsid w:val="002A7E06"/>
    <w:rsid w:val="002B0D72"/>
    <w:rsid w:val="002B291B"/>
    <w:rsid w:val="002B5C4C"/>
    <w:rsid w:val="002B7B23"/>
    <w:rsid w:val="002C3486"/>
    <w:rsid w:val="002C3D0F"/>
    <w:rsid w:val="002D240C"/>
    <w:rsid w:val="002E2609"/>
    <w:rsid w:val="002E5BE6"/>
    <w:rsid w:val="002F33D6"/>
    <w:rsid w:val="00303975"/>
    <w:rsid w:val="00303B4E"/>
    <w:rsid w:val="00312E54"/>
    <w:rsid w:val="00316436"/>
    <w:rsid w:val="00320B91"/>
    <w:rsid w:val="00333CB9"/>
    <w:rsid w:val="00337D19"/>
    <w:rsid w:val="00340A13"/>
    <w:rsid w:val="00341B19"/>
    <w:rsid w:val="00342E93"/>
    <w:rsid w:val="0034342A"/>
    <w:rsid w:val="00345A58"/>
    <w:rsid w:val="0035541A"/>
    <w:rsid w:val="0037343F"/>
    <w:rsid w:val="0038035D"/>
    <w:rsid w:val="00384678"/>
    <w:rsid w:val="003A2C75"/>
    <w:rsid w:val="003A43C6"/>
    <w:rsid w:val="003A43D4"/>
    <w:rsid w:val="003B0B83"/>
    <w:rsid w:val="003B2789"/>
    <w:rsid w:val="003B3694"/>
    <w:rsid w:val="003B7D18"/>
    <w:rsid w:val="003C4AF8"/>
    <w:rsid w:val="003D0D2A"/>
    <w:rsid w:val="003D4628"/>
    <w:rsid w:val="003E28BA"/>
    <w:rsid w:val="003E42B4"/>
    <w:rsid w:val="003F117B"/>
    <w:rsid w:val="004046BA"/>
    <w:rsid w:val="0040780C"/>
    <w:rsid w:val="004115E6"/>
    <w:rsid w:val="0041699A"/>
    <w:rsid w:val="0042401C"/>
    <w:rsid w:val="00425202"/>
    <w:rsid w:val="00426DA9"/>
    <w:rsid w:val="00430D19"/>
    <w:rsid w:val="004358AA"/>
    <w:rsid w:val="00436459"/>
    <w:rsid w:val="00441A93"/>
    <w:rsid w:val="00444B4E"/>
    <w:rsid w:val="00453343"/>
    <w:rsid w:val="004609D1"/>
    <w:rsid w:val="0046566B"/>
    <w:rsid w:val="00465E41"/>
    <w:rsid w:val="00466B0D"/>
    <w:rsid w:val="0047205B"/>
    <w:rsid w:val="00480EBE"/>
    <w:rsid w:val="0048579C"/>
    <w:rsid w:val="00485BD5"/>
    <w:rsid w:val="004905DE"/>
    <w:rsid w:val="0049625D"/>
    <w:rsid w:val="004B4414"/>
    <w:rsid w:val="004C10F7"/>
    <w:rsid w:val="004C3B66"/>
    <w:rsid w:val="004D1580"/>
    <w:rsid w:val="004D6E14"/>
    <w:rsid w:val="004E4ACB"/>
    <w:rsid w:val="004E69A1"/>
    <w:rsid w:val="004F0EA5"/>
    <w:rsid w:val="004F689C"/>
    <w:rsid w:val="005011E5"/>
    <w:rsid w:val="00501390"/>
    <w:rsid w:val="0050278E"/>
    <w:rsid w:val="00504F78"/>
    <w:rsid w:val="005121CA"/>
    <w:rsid w:val="0051704F"/>
    <w:rsid w:val="00522345"/>
    <w:rsid w:val="00522A75"/>
    <w:rsid w:val="00527CBD"/>
    <w:rsid w:val="00533A6C"/>
    <w:rsid w:val="0053541A"/>
    <w:rsid w:val="0053752C"/>
    <w:rsid w:val="0054485C"/>
    <w:rsid w:val="005502B0"/>
    <w:rsid w:val="0055415D"/>
    <w:rsid w:val="00554D79"/>
    <w:rsid w:val="00560580"/>
    <w:rsid w:val="00565906"/>
    <w:rsid w:val="00565952"/>
    <w:rsid w:val="00565CDF"/>
    <w:rsid w:val="00570160"/>
    <w:rsid w:val="005805F7"/>
    <w:rsid w:val="00581EA9"/>
    <w:rsid w:val="00591B22"/>
    <w:rsid w:val="00593DC3"/>
    <w:rsid w:val="00595FED"/>
    <w:rsid w:val="005A163C"/>
    <w:rsid w:val="005A286F"/>
    <w:rsid w:val="005C0657"/>
    <w:rsid w:val="005C143B"/>
    <w:rsid w:val="005C76BF"/>
    <w:rsid w:val="005E1A30"/>
    <w:rsid w:val="005E76EB"/>
    <w:rsid w:val="005F09F0"/>
    <w:rsid w:val="006001FF"/>
    <w:rsid w:val="006071B6"/>
    <w:rsid w:val="006072CA"/>
    <w:rsid w:val="00607FD5"/>
    <w:rsid w:val="00610626"/>
    <w:rsid w:val="00611A61"/>
    <w:rsid w:val="006221B9"/>
    <w:rsid w:val="00623D26"/>
    <w:rsid w:val="00624205"/>
    <w:rsid w:val="00631967"/>
    <w:rsid w:val="00637579"/>
    <w:rsid w:val="00642A71"/>
    <w:rsid w:val="00664DAB"/>
    <w:rsid w:val="00667EF5"/>
    <w:rsid w:val="00671662"/>
    <w:rsid w:val="0067411A"/>
    <w:rsid w:val="00674891"/>
    <w:rsid w:val="00676A27"/>
    <w:rsid w:val="006775EA"/>
    <w:rsid w:val="0068149C"/>
    <w:rsid w:val="00683B96"/>
    <w:rsid w:val="006858E2"/>
    <w:rsid w:val="006904C4"/>
    <w:rsid w:val="0069169F"/>
    <w:rsid w:val="006A2859"/>
    <w:rsid w:val="006A5691"/>
    <w:rsid w:val="006B05FC"/>
    <w:rsid w:val="006B0903"/>
    <w:rsid w:val="006B4570"/>
    <w:rsid w:val="006B702E"/>
    <w:rsid w:val="006C06E7"/>
    <w:rsid w:val="006C3AC5"/>
    <w:rsid w:val="006C4473"/>
    <w:rsid w:val="006C4B67"/>
    <w:rsid w:val="006D27B8"/>
    <w:rsid w:val="006D3A19"/>
    <w:rsid w:val="006F1206"/>
    <w:rsid w:val="006F7960"/>
    <w:rsid w:val="007066D6"/>
    <w:rsid w:val="00721CCA"/>
    <w:rsid w:val="00725D3F"/>
    <w:rsid w:val="00731529"/>
    <w:rsid w:val="007352E8"/>
    <w:rsid w:val="00740A64"/>
    <w:rsid w:val="00742373"/>
    <w:rsid w:val="00742982"/>
    <w:rsid w:val="00743153"/>
    <w:rsid w:val="00745727"/>
    <w:rsid w:val="00756A93"/>
    <w:rsid w:val="0076458C"/>
    <w:rsid w:val="0077053D"/>
    <w:rsid w:val="00774093"/>
    <w:rsid w:val="007809EA"/>
    <w:rsid w:val="00785933"/>
    <w:rsid w:val="007949D6"/>
    <w:rsid w:val="007955DF"/>
    <w:rsid w:val="00795A66"/>
    <w:rsid w:val="007A01A7"/>
    <w:rsid w:val="007A4A26"/>
    <w:rsid w:val="007B198A"/>
    <w:rsid w:val="007B3701"/>
    <w:rsid w:val="007C02FD"/>
    <w:rsid w:val="007D1851"/>
    <w:rsid w:val="007D1F85"/>
    <w:rsid w:val="007D2A37"/>
    <w:rsid w:val="007D4A73"/>
    <w:rsid w:val="007E19FF"/>
    <w:rsid w:val="007F061B"/>
    <w:rsid w:val="007F10EE"/>
    <w:rsid w:val="0080178F"/>
    <w:rsid w:val="0080200B"/>
    <w:rsid w:val="0080585F"/>
    <w:rsid w:val="00807460"/>
    <w:rsid w:val="00815C95"/>
    <w:rsid w:val="00831880"/>
    <w:rsid w:val="00834A67"/>
    <w:rsid w:val="008416F4"/>
    <w:rsid w:val="0084255D"/>
    <w:rsid w:val="0084301A"/>
    <w:rsid w:val="00845DC0"/>
    <w:rsid w:val="0085438E"/>
    <w:rsid w:val="00855B8C"/>
    <w:rsid w:val="00856EFD"/>
    <w:rsid w:val="008607E6"/>
    <w:rsid w:val="008622B2"/>
    <w:rsid w:val="0086612C"/>
    <w:rsid w:val="00872866"/>
    <w:rsid w:val="00872B37"/>
    <w:rsid w:val="00882306"/>
    <w:rsid w:val="008874DE"/>
    <w:rsid w:val="00890F0D"/>
    <w:rsid w:val="00891F57"/>
    <w:rsid w:val="0089229E"/>
    <w:rsid w:val="00893076"/>
    <w:rsid w:val="008A0902"/>
    <w:rsid w:val="008A3D2B"/>
    <w:rsid w:val="008A4CC7"/>
    <w:rsid w:val="008B149E"/>
    <w:rsid w:val="008B7C8B"/>
    <w:rsid w:val="008C1628"/>
    <w:rsid w:val="008C3A17"/>
    <w:rsid w:val="008D726D"/>
    <w:rsid w:val="008E5996"/>
    <w:rsid w:val="008E7DFC"/>
    <w:rsid w:val="008F4301"/>
    <w:rsid w:val="00906956"/>
    <w:rsid w:val="009114F6"/>
    <w:rsid w:val="009124AE"/>
    <w:rsid w:val="00915891"/>
    <w:rsid w:val="00923E4A"/>
    <w:rsid w:val="00935F3B"/>
    <w:rsid w:val="0093759E"/>
    <w:rsid w:val="0094090A"/>
    <w:rsid w:val="00944B88"/>
    <w:rsid w:val="009477E6"/>
    <w:rsid w:val="0096056F"/>
    <w:rsid w:val="00960B56"/>
    <w:rsid w:val="00962116"/>
    <w:rsid w:val="009655A0"/>
    <w:rsid w:val="00971CAC"/>
    <w:rsid w:val="00972AB9"/>
    <w:rsid w:val="00972D29"/>
    <w:rsid w:val="00972EBC"/>
    <w:rsid w:val="0097425C"/>
    <w:rsid w:val="009759B3"/>
    <w:rsid w:val="00982AE2"/>
    <w:rsid w:val="0099335A"/>
    <w:rsid w:val="009A7C7A"/>
    <w:rsid w:val="009B7F31"/>
    <w:rsid w:val="009C1310"/>
    <w:rsid w:val="009C27C0"/>
    <w:rsid w:val="009C34FD"/>
    <w:rsid w:val="009D2037"/>
    <w:rsid w:val="009D2E2C"/>
    <w:rsid w:val="009D5DDD"/>
    <w:rsid w:val="009D6D3F"/>
    <w:rsid w:val="009F0A3B"/>
    <w:rsid w:val="009F2220"/>
    <w:rsid w:val="009F2920"/>
    <w:rsid w:val="009F6CFB"/>
    <w:rsid w:val="00A0246E"/>
    <w:rsid w:val="00A135D5"/>
    <w:rsid w:val="00A14A6E"/>
    <w:rsid w:val="00A167D5"/>
    <w:rsid w:val="00A16ADA"/>
    <w:rsid w:val="00A16B94"/>
    <w:rsid w:val="00A2114B"/>
    <w:rsid w:val="00A2260E"/>
    <w:rsid w:val="00A23CDF"/>
    <w:rsid w:val="00A25A4D"/>
    <w:rsid w:val="00A3138C"/>
    <w:rsid w:val="00A3798E"/>
    <w:rsid w:val="00A4123A"/>
    <w:rsid w:val="00A4735F"/>
    <w:rsid w:val="00A56E29"/>
    <w:rsid w:val="00A61483"/>
    <w:rsid w:val="00A62330"/>
    <w:rsid w:val="00A65988"/>
    <w:rsid w:val="00A6695B"/>
    <w:rsid w:val="00A7536B"/>
    <w:rsid w:val="00A75491"/>
    <w:rsid w:val="00A81D08"/>
    <w:rsid w:val="00A8667E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B3CAF"/>
    <w:rsid w:val="00AC4574"/>
    <w:rsid w:val="00AC672D"/>
    <w:rsid w:val="00AD0227"/>
    <w:rsid w:val="00AD2D81"/>
    <w:rsid w:val="00AE29B3"/>
    <w:rsid w:val="00AE514B"/>
    <w:rsid w:val="00AF5E43"/>
    <w:rsid w:val="00B00002"/>
    <w:rsid w:val="00B01D44"/>
    <w:rsid w:val="00B06444"/>
    <w:rsid w:val="00B077ED"/>
    <w:rsid w:val="00B11951"/>
    <w:rsid w:val="00B121C8"/>
    <w:rsid w:val="00B16686"/>
    <w:rsid w:val="00B353DC"/>
    <w:rsid w:val="00B354C3"/>
    <w:rsid w:val="00B41939"/>
    <w:rsid w:val="00B43186"/>
    <w:rsid w:val="00B4642B"/>
    <w:rsid w:val="00B50A46"/>
    <w:rsid w:val="00B606E1"/>
    <w:rsid w:val="00B65F0A"/>
    <w:rsid w:val="00B75F1A"/>
    <w:rsid w:val="00B77351"/>
    <w:rsid w:val="00B778F8"/>
    <w:rsid w:val="00B77D7F"/>
    <w:rsid w:val="00B80B77"/>
    <w:rsid w:val="00B811C1"/>
    <w:rsid w:val="00B867AF"/>
    <w:rsid w:val="00B91BFE"/>
    <w:rsid w:val="00B92EA6"/>
    <w:rsid w:val="00B9311B"/>
    <w:rsid w:val="00B95260"/>
    <w:rsid w:val="00B971AE"/>
    <w:rsid w:val="00BA6AED"/>
    <w:rsid w:val="00BB0A3B"/>
    <w:rsid w:val="00BB3927"/>
    <w:rsid w:val="00BB468E"/>
    <w:rsid w:val="00BC2BB9"/>
    <w:rsid w:val="00BC43D6"/>
    <w:rsid w:val="00BC672F"/>
    <w:rsid w:val="00BD051E"/>
    <w:rsid w:val="00BD5661"/>
    <w:rsid w:val="00BE2D6A"/>
    <w:rsid w:val="00BF088E"/>
    <w:rsid w:val="00BF60F0"/>
    <w:rsid w:val="00BF6121"/>
    <w:rsid w:val="00C0669C"/>
    <w:rsid w:val="00C11088"/>
    <w:rsid w:val="00C12446"/>
    <w:rsid w:val="00C2556C"/>
    <w:rsid w:val="00C302FE"/>
    <w:rsid w:val="00C306C6"/>
    <w:rsid w:val="00C42721"/>
    <w:rsid w:val="00C43975"/>
    <w:rsid w:val="00C447AA"/>
    <w:rsid w:val="00C46050"/>
    <w:rsid w:val="00C468F7"/>
    <w:rsid w:val="00C60F7A"/>
    <w:rsid w:val="00C626FF"/>
    <w:rsid w:val="00C634AF"/>
    <w:rsid w:val="00C6358B"/>
    <w:rsid w:val="00C66E7B"/>
    <w:rsid w:val="00C6726C"/>
    <w:rsid w:val="00C776E2"/>
    <w:rsid w:val="00C82C13"/>
    <w:rsid w:val="00C929E9"/>
    <w:rsid w:val="00C92B9E"/>
    <w:rsid w:val="00C93898"/>
    <w:rsid w:val="00C94B8E"/>
    <w:rsid w:val="00C9722F"/>
    <w:rsid w:val="00CA2C65"/>
    <w:rsid w:val="00CA7F68"/>
    <w:rsid w:val="00CB16F1"/>
    <w:rsid w:val="00CB490C"/>
    <w:rsid w:val="00CC38EA"/>
    <w:rsid w:val="00CC5554"/>
    <w:rsid w:val="00CD1012"/>
    <w:rsid w:val="00CD109D"/>
    <w:rsid w:val="00CE0D1F"/>
    <w:rsid w:val="00CE0DC3"/>
    <w:rsid w:val="00CE1BDE"/>
    <w:rsid w:val="00CE3600"/>
    <w:rsid w:val="00D04784"/>
    <w:rsid w:val="00D10AAB"/>
    <w:rsid w:val="00D15FDE"/>
    <w:rsid w:val="00D16E8D"/>
    <w:rsid w:val="00D20B3A"/>
    <w:rsid w:val="00D26450"/>
    <w:rsid w:val="00D27075"/>
    <w:rsid w:val="00D27855"/>
    <w:rsid w:val="00D351A2"/>
    <w:rsid w:val="00D37D0C"/>
    <w:rsid w:val="00D41E24"/>
    <w:rsid w:val="00D452DE"/>
    <w:rsid w:val="00D60562"/>
    <w:rsid w:val="00D62C6C"/>
    <w:rsid w:val="00D64EB9"/>
    <w:rsid w:val="00D65F2E"/>
    <w:rsid w:val="00D70473"/>
    <w:rsid w:val="00D75F27"/>
    <w:rsid w:val="00D777AF"/>
    <w:rsid w:val="00D8228F"/>
    <w:rsid w:val="00D86269"/>
    <w:rsid w:val="00DA0170"/>
    <w:rsid w:val="00DA3988"/>
    <w:rsid w:val="00DA607C"/>
    <w:rsid w:val="00DC12F6"/>
    <w:rsid w:val="00DC70E1"/>
    <w:rsid w:val="00DD25DC"/>
    <w:rsid w:val="00DD5C91"/>
    <w:rsid w:val="00DE05EA"/>
    <w:rsid w:val="00DF2F12"/>
    <w:rsid w:val="00E00365"/>
    <w:rsid w:val="00E01062"/>
    <w:rsid w:val="00E029B2"/>
    <w:rsid w:val="00E06DC8"/>
    <w:rsid w:val="00E07C46"/>
    <w:rsid w:val="00E13F50"/>
    <w:rsid w:val="00E15FEB"/>
    <w:rsid w:val="00E17FC2"/>
    <w:rsid w:val="00E209B0"/>
    <w:rsid w:val="00E31360"/>
    <w:rsid w:val="00E32D32"/>
    <w:rsid w:val="00E34D40"/>
    <w:rsid w:val="00E3621B"/>
    <w:rsid w:val="00E3692D"/>
    <w:rsid w:val="00E412D7"/>
    <w:rsid w:val="00E445AC"/>
    <w:rsid w:val="00E46583"/>
    <w:rsid w:val="00E50971"/>
    <w:rsid w:val="00E54639"/>
    <w:rsid w:val="00E54679"/>
    <w:rsid w:val="00E54923"/>
    <w:rsid w:val="00E6749F"/>
    <w:rsid w:val="00E74E68"/>
    <w:rsid w:val="00E84248"/>
    <w:rsid w:val="00E90024"/>
    <w:rsid w:val="00E90628"/>
    <w:rsid w:val="00E91256"/>
    <w:rsid w:val="00E969D2"/>
    <w:rsid w:val="00EA07E6"/>
    <w:rsid w:val="00EC550A"/>
    <w:rsid w:val="00ED7C44"/>
    <w:rsid w:val="00F00546"/>
    <w:rsid w:val="00F12923"/>
    <w:rsid w:val="00F16271"/>
    <w:rsid w:val="00F17EC7"/>
    <w:rsid w:val="00F32772"/>
    <w:rsid w:val="00F33F51"/>
    <w:rsid w:val="00F36051"/>
    <w:rsid w:val="00F43CA7"/>
    <w:rsid w:val="00F460B5"/>
    <w:rsid w:val="00F46C26"/>
    <w:rsid w:val="00F50A6B"/>
    <w:rsid w:val="00F55801"/>
    <w:rsid w:val="00F66119"/>
    <w:rsid w:val="00F71AA8"/>
    <w:rsid w:val="00F723DF"/>
    <w:rsid w:val="00F768BE"/>
    <w:rsid w:val="00F77122"/>
    <w:rsid w:val="00F77D18"/>
    <w:rsid w:val="00F80F9E"/>
    <w:rsid w:val="00F845A3"/>
    <w:rsid w:val="00FB44FD"/>
    <w:rsid w:val="00FC0800"/>
    <w:rsid w:val="00FC6691"/>
    <w:rsid w:val="00FC7966"/>
    <w:rsid w:val="00FE0A96"/>
    <w:rsid w:val="00FE3A7C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ma.govt.nz/assets/Information-sheets/Developing-cyber-resilience-for-financial-advice-providers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fma.govt.nz/assets/Reports/CustomerVulnerability-ourexpectationsforproviders.pdf" TargetMode="External"/><Relationship Id="rId17" Type="http://schemas.openxmlformats.org/officeDocument/2006/relationships/hyperlink" Target="mailto:qualifications@ringahora.n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sf.org.n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ialadvicecode.govt.nz/wp-content/uploads/2021/03/codeofprofessionalconduct-march2021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so.org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a.govt.nz/assets/Research/Understanding-Artificial-Intelligence-in-Financial-Services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1BAF2-4528-469B-9563-67DDCB26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76f611d7-c539-42f4-ad81-5b242bcfce8e"/>
    <ds:schemaRef ds:uri="http://schemas.microsoft.com/office/infopath/2007/PartnerControls"/>
    <ds:schemaRef ds:uri="c7c66f8a-fd0d-4da3-b6ce-0241484f0de0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c761af5-23b3-453d-aa00-8620c42b1ab2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7</cp:revision>
  <cp:lastPrinted>2023-05-01T02:03:00Z</cp:lastPrinted>
  <dcterms:created xsi:type="dcterms:W3CDTF">2025-01-22T00:41:00Z</dcterms:created>
  <dcterms:modified xsi:type="dcterms:W3CDTF">2025-01-22T00:45:00Z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