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8060"/>
      </w:tblGrid>
      <w:tr w:rsidR="007066D6" w:rsidRPr="004D6E14" w14:paraId="341C5380" w14:textId="77777777" w:rsidTr="007066D6">
        <w:trPr>
          <w:trHeight w:val="703"/>
        </w:trPr>
        <w:tc>
          <w:tcPr>
            <w:tcW w:w="2345" w:type="dxa"/>
          </w:tcPr>
          <w:p w14:paraId="7A1B5AC9" w14:textId="75CF863B" w:rsidR="007066D6" w:rsidRDefault="0096056F" w:rsidP="007066D6">
            <w:pPr>
              <w:pStyle w:val="Heading1"/>
              <w:spacing w:line="240" w:lineRule="auto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1</w:t>
            </w:r>
          </w:p>
        </w:tc>
        <w:tc>
          <w:tcPr>
            <w:tcW w:w="8060" w:type="dxa"/>
          </w:tcPr>
          <w:p w14:paraId="512FDC1E" w14:textId="7E77536E" w:rsidR="007066D6" w:rsidRPr="004D6E14" w:rsidRDefault="002E0AB2" w:rsidP="007066D6">
            <w:pPr>
              <w:pStyle w:val="Heading1"/>
              <w:spacing w:line="240" w:lineRule="auto"/>
              <w:ind w:right="178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 xml:space="preserve">Provide </w:t>
            </w:r>
            <w:r w:rsidR="000376FF">
              <w:rPr>
                <w:rFonts w:ascii="Arial" w:hAnsi="Arial" w:cs="Arial"/>
                <w:b/>
                <w:bCs/>
                <w:color w:val="auto"/>
              </w:rPr>
              <w:t>l</w:t>
            </w:r>
            <w:r>
              <w:rPr>
                <w:rFonts w:ascii="Arial" w:hAnsi="Arial" w:cs="Arial"/>
                <w:b/>
                <w:bCs/>
                <w:color w:val="auto"/>
              </w:rPr>
              <w:t xml:space="preserve">ending </w:t>
            </w:r>
            <w:r w:rsidR="0074371A">
              <w:rPr>
                <w:rFonts w:ascii="Arial" w:hAnsi="Arial" w:cs="Arial"/>
                <w:b/>
                <w:bCs/>
                <w:color w:val="auto"/>
              </w:rPr>
              <w:t xml:space="preserve">services </w:t>
            </w:r>
            <w:r w:rsidR="00256D66">
              <w:rPr>
                <w:rFonts w:ascii="Arial" w:hAnsi="Arial" w:cs="Arial"/>
                <w:b/>
                <w:bCs/>
                <w:color w:val="auto"/>
              </w:rPr>
              <w:t xml:space="preserve">with knowledge of </w:t>
            </w:r>
            <w:r w:rsidR="00A95ED6">
              <w:rPr>
                <w:rFonts w:ascii="Arial" w:hAnsi="Arial" w:cs="Arial"/>
                <w:b/>
                <w:bCs/>
                <w:color w:val="auto"/>
              </w:rPr>
              <w:t>the</w:t>
            </w:r>
            <w:r w:rsidR="00256D66">
              <w:rPr>
                <w:rFonts w:ascii="Arial" w:hAnsi="Arial" w:cs="Arial"/>
                <w:b/>
                <w:bCs/>
                <w:color w:val="auto"/>
              </w:rPr>
              <w:t xml:space="preserve"> lending environment and concepts</w:t>
            </w:r>
            <w:r w:rsidR="00BA01C5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</w:p>
        </w:tc>
      </w:tr>
    </w:tbl>
    <w:p w14:paraId="3DBC1EDB" w14:textId="77777777" w:rsidR="004D6E14" w:rsidRPr="004D6E14" w:rsidRDefault="004D6E14" w:rsidP="00DC70E1">
      <w:pPr>
        <w:spacing w:line="240" w:lineRule="auto"/>
        <w:ind w:left="2160" w:hanging="2160"/>
        <w:rPr>
          <w:rFonts w:ascii="Arial" w:hAnsi="Arial" w:cs="Arial"/>
          <w:color w:val="auto"/>
          <w:sz w:val="22"/>
          <w:szCs w:val="22"/>
          <w:lang w:eastAsia="en-US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63"/>
        <w:gridCol w:w="7705"/>
      </w:tblGrid>
      <w:tr w:rsidR="003B7D18" w:rsidRPr="004D6E14" w14:paraId="52F633C4" w14:textId="77777777" w:rsidTr="00D33291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74F88ABA" w14:textId="60992C62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Kaupae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Level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F33C" w14:textId="13E21415" w:rsidR="004D6E14" w:rsidRPr="00676A27" w:rsidRDefault="00804810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B7D18" w:rsidRPr="004D6E14" w14:paraId="319AEFDB" w14:textId="77777777" w:rsidTr="00D33291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4A2CC07E" w14:textId="12B26353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Whiwhinga</w:t>
            </w:r>
            <w:proofErr w:type="spellEnd"/>
            <w:r w:rsidRPr="0028716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Credit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76E5" w14:textId="59A18FBF" w:rsidR="004D6E14" w:rsidRPr="00676A27" w:rsidRDefault="0A94D213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6100460B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B7D18" w:rsidRPr="004D6E14" w14:paraId="49BD60D9" w14:textId="77777777" w:rsidTr="00D33291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1FF07509" w14:textId="25E664B6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Whāinga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Purpose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05721" w14:textId="11AFEA60" w:rsidR="00804810" w:rsidRDefault="00D33291" w:rsidP="0080481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purpose of this skill standard is for people who </w:t>
            </w:r>
            <w:r w:rsidR="00A95ED6">
              <w:rPr>
                <w:rFonts w:ascii="Arial" w:hAnsi="Arial" w:cs="Arial"/>
                <w:sz w:val="22"/>
                <w:szCs w:val="22"/>
              </w:rPr>
              <w:t>provide personal</w:t>
            </w:r>
            <w:r w:rsidR="000376FF">
              <w:rPr>
                <w:rFonts w:ascii="Arial" w:hAnsi="Arial" w:cs="Arial"/>
                <w:sz w:val="22"/>
                <w:szCs w:val="22"/>
              </w:rPr>
              <w:t>,</w:t>
            </w:r>
            <w:r w:rsidR="00A95E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376FF">
              <w:rPr>
                <w:rFonts w:ascii="Arial" w:hAnsi="Arial" w:cs="Arial"/>
                <w:sz w:val="22"/>
                <w:szCs w:val="22"/>
              </w:rPr>
              <w:t xml:space="preserve">and residential property </w:t>
            </w:r>
            <w:r w:rsidR="00A95ED6">
              <w:rPr>
                <w:rFonts w:ascii="Arial" w:hAnsi="Arial" w:cs="Arial"/>
                <w:sz w:val="22"/>
                <w:szCs w:val="22"/>
              </w:rPr>
              <w:t xml:space="preserve">lending services with knowledge of the lending environment and concepts. </w:t>
            </w:r>
          </w:p>
          <w:p w14:paraId="14F0E17A" w14:textId="3BFAB602" w:rsidR="00B22872" w:rsidRDefault="00B22872" w:rsidP="00B2287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This skill standard will provide learners with the knowledge and skills to </w:t>
            </w:r>
            <w:r w:rsidR="00A95ED6">
              <w:rPr>
                <w:rFonts w:ascii="Arial" w:hAnsi="Arial" w:cs="Arial"/>
                <w:sz w:val="22"/>
                <w:szCs w:val="22"/>
              </w:rPr>
              <w:t xml:space="preserve">provide lending services with knowledge of </w:t>
            </w:r>
            <w:r w:rsidR="00164211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A95ED6">
              <w:rPr>
                <w:rFonts w:ascii="Arial" w:hAnsi="Arial" w:cs="Arial"/>
                <w:sz w:val="22"/>
                <w:szCs w:val="22"/>
              </w:rPr>
              <w:t xml:space="preserve">lending environment and concepts. </w:t>
            </w:r>
          </w:p>
          <w:p w14:paraId="326E3A3F" w14:textId="101CAF4E" w:rsidR="00B077ED" w:rsidRPr="00676A27" w:rsidRDefault="00B22872" w:rsidP="00B2287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skill standard has been developed primarily for the assessment within programmes leading to the New Zealand Certificate in Financial Services (Level 5) with strand</w:t>
            </w:r>
            <w:r w:rsidR="00164211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in </w:t>
            </w:r>
            <w:r w:rsidR="001673DD">
              <w:rPr>
                <w:rFonts w:ascii="Arial" w:hAnsi="Arial" w:cs="Arial"/>
                <w:sz w:val="22"/>
                <w:szCs w:val="22"/>
              </w:rPr>
              <w:t xml:space="preserve">Personal, and Residential Property Lending. </w:t>
            </w:r>
          </w:p>
        </w:tc>
      </w:tr>
    </w:tbl>
    <w:p w14:paraId="7795CD10" w14:textId="1B15114C" w:rsidR="003E42B4" w:rsidRDefault="003E42B4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3BFD258" w14:textId="77777777" w:rsidR="00D70473" w:rsidRPr="00FC6691" w:rsidRDefault="00D70473" w:rsidP="00DC70E1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CD7FC9">
        <w:rPr>
          <w:rFonts w:ascii="Arial" w:hAnsi="Arial" w:cs="Arial"/>
          <w:b/>
          <w:bCs/>
          <w:sz w:val="22"/>
          <w:szCs w:val="22"/>
        </w:rPr>
        <w:t xml:space="preserve">Hua o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te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ako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me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Paearu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aromatawai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| </w:t>
      </w:r>
      <w:r w:rsidRPr="00CD7FC9">
        <w:rPr>
          <w:rFonts w:ascii="Arial" w:hAnsi="Arial" w:cs="Arial"/>
          <w:sz w:val="22"/>
          <w:szCs w:val="22"/>
        </w:rPr>
        <w:t>Learning outcomes and assessment criteria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27"/>
        <w:gridCol w:w="5341"/>
      </w:tblGrid>
      <w:tr w:rsidR="006F1206" w14:paraId="743E6524" w14:textId="77777777" w:rsidTr="002205DA">
        <w:trPr>
          <w:cantSplit/>
          <w:tblHeader/>
        </w:trPr>
        <w:tc>
          <w:tcPr>
            <w:tcW w:w="4627" w:type="dxa"/>
            <w:tcBorders>
              <w:bottom w:val="single" w:sz="4" w:space="0" w:color="auto"/>
            </w:tcBorders>
            <w:shd w:val="clear" w:color="auto" w:fill="8DCCD2"/>
          </w:tcPr>
          <w:p w14:paraId="6A465585" w14:textId="63B48910" w:rsidR="00222548" w:rsidRPr="00222548" w:rsidRDefault="00F50A6B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Hua o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ako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Learning outcomes</w:t>
            </w:r>
            <w:r w:rsidRPr="002225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41" w:type="dxa"/>
            <w:tcBorders>
              <w:bottom w:val="single" w:sz="4" w:space="0" w:color="auto"/>
            </w:tcBorders>
            <w:shd w:val="clear" w:color="auto" w:fill="8DCCD2"/>
          </w:tcPr>
          <w:p w14:paraId="22D22E13" w14:textId="006938BE" w:rsidR="00222548" w:rsidRPr="00972EBC" w:rsidRDefault="00441A93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Paearu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="00F50A6B"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Assessment </w:t>
            </w:r>
            <w:r w:rsidR="00890F0D">
              <w:rPr>
                <w:rFonts w:ascii="Arial" w:hAnsi="Arial" w:cs="Arial"/>
                <w:color w:val="000000" w:themeColor="text1"/>
                <w:sz w:val="22"/>
                <w:szCs w:val="22"/>
              </w:rPr>
              <w:t>criteria</w:t>
            </w:r>
          </w:p>
        </w:tc>
      </w:tr>
      <w:tr w:rsidR="00AB6492" w14:paraId="3D9920CC" w14:textId="77777777" w:rsidTr="00AB6492">
        <w:trPr>
          <w:cantSplit/>
          <w:trHeight w:val="484"/>
          <w:tblHeader/>
        </w:trPr>
        <w:tc>
          <w:tcPr>
            <w:tcW w:w="4627" w:type="dxa"/>
            <w:vMerge w:val="restart"/>
          </w:tcPr>
          <w:p w14:paraId="69F7F8F9" w14:textId="66FAD805" w:rsidR="00AB6492" w:rsidRPr="00222548" w:rsidRDefault="00AB6492" w:rsidP="00BA01C5">
            <w:pPr>
              <w:pStyle w:val="ListParagraph"/>
              <w:spacing w:line="240" w:lineRule="auto"/>
              <w:ind w:left="317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BA01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66734">
              <w:rPr>
                <w:rFonts w:ascii="Arial" w:hAnsi="Arial" w:cs="Arial"/>
                <w:sz w:val="22"/>
                <w:szCs w:val="22"/>
              </w:rPr>
              <w:t xml:space="preserve">Provide </w:t>
            </w:r>
            <w:r w:rsidR="004F4EB7">
              <w:rPr>
                <w:rFonts w:ascii="Arial" w:hAnsi="Arial" w:cs="Arial"/>
                <w:sz w:val="22"/>
                <w:szCs w:val="22"/>
              </w:rPr>
              <w:t>lending</w:t>
            </w:r>
            <w:r w:rsidR="00B66734">
              <w:rPr>
                <w:rFonts w:ascii="Arial" w:hAnsi="Arial" w:cs="Arial"/>
                <w:sz w:val="22"/>
                <w:szCs w:val="22"/>
              </w:rPr>
              <w:t xml:space="preserve"> services with knowledge of regulatory framework, and key participants and roles. </w:t>
            </w:r>
            <w:r w:rsidR="00B66734" w:rsidRPr="002225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41" w:type="dxa"/>
            <w:tcBorders>
              <w:top w:val="single" w:sz="4" w:space="0" w:color="auto"/>
            </w:tcBorders>
          </w:tcPr>
          <w:p w14:paraId="69174AB0" w14:textId="403E1481" w:rsidR="00AB6492" w:rsidRPr="00444B4E" w:rsidRDefault="00B4646F" w:rsidP="005E78F4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Explain steps taken to ensure client understands the lending advice process. </w:t>
            </w:r>
          </w:p>
        </w:tc>
      </w:tr>
      <w:tr w:rsidR="004611F7" w14:paraId="21F2C32A" w14:textId="77777777" w:rsidTr="00AB6492">
        <w:trPr>
          <w:cantSplit/>
          <w:trHeight w:val="484"/>
          <w:tblHeader/>
        </w:trPr>
        <w:tc>
          <w:tcPr>
            <w:tcW w:w="4627" w:type="dxa"/>
            <w:vMerge/>
          </w:tcPr>
          <w:p w14:paraId="1BBB157A" w14:textId="77777777" w:rsidR="004611F7" w:rsidRDefault="004611F7" w:rsidP="00BA01C5">
            <w:pPr>
              <w:pStyle w:val="ListParagraph"/>
              <w:spacing w:line="240" w:lineRule="auto"/>
              <w:ind w:left="317" w:hanging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</w:tcBorders>
          </w:tcPr>
          <w:p w14:paraId="7333B6A5" w14:textId="28A566CA" w:rsidR="004611F7" w:rsidRDefault="00157954" w:rsidP="005E78F4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Apply knowledge of the regulatory framework, legislation, and conduct obligations to lending services.   </w:t>
            </w:r>
          </w:p>
        </w:tc>
      </w:tr>
      <w:tr w:rsidR="001C3B3E" w14:paraId="34EEA79D" w14:textId="77777777" w:rsidTr="00AB6492">
        <w:trPr>
          <w:cantSplit/>
          <w:trHeight w:val="484"/>
          <w:tblHeader/>
        </w:trPr>
        <w:tc>
          <w:tcPr>
            <w:tcW w:w="4627" w:type="dxa"/>
            <w:vMerge/>
          </w:tcPr>
          <w:p w14:paraId="06BD74FD" w14:textId="77777777" w:rsidR="001C3B3E" w:rsidRDefault="001C3B3E" w:rsidP="00BA01C5">
            <w:pPr>
              <w:pStyle w:val="ListParagraph"/>
              <w:spacing w:line="240" w:lineRule="auto"/>
              <w:ind w:left="317" w:hanging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</w:tcBorders>
          </w:tcPr>
          <w:p w14:paraId="2D3DBFAA" w14:textId="3C9198B6" w:rsidR="001C3B3E" w:rsidRDefault="000F30D8" w:rsidP="005E78F4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Explain key participants and</w:t>
            </w:r>
            <w:r w:rsidR="00126A67">
              <w:rPr>
                <w:rFonts w:ascii="Arial" w:hAnsi="Arial" w:cs="Arial"/>
                <w:sz w:val="22"/>
                <w:szCs w:val="22"/>
              </w:rPr>
              <w:t xml:space="preserve"> responsibilities</w:t>
            </w:r>
            <w:r w:rsidR="00F42A6C">
              <w:rPr>
                <w:rFonts w:ascii="Arial" w:hAnsi="Arial" w:cs="Arial"/>
                <w:sz w:val="22"/>
                <w:szCs w:val="22"/>
              </w:rPr>
              <w:t xml:space="preserve"> of roles</w:t>
            </w:r>
            <w:r w:rsidR="006906D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C3B3E">
              <w:rPr>
                <w:rFonts w:ascii="Arial" w:hAnsi="Arial" w:cs="Arial"/>
                <w:sz w:val="22"/>
                <w:szCs w:val="22"/>
              </w:rPr>
              <w:t>in lending</w:t>
            </w:r>
            <w:r w:rsidR="00BB103E">
              <w:rPr>
                <w:rFonts w:ascii="Arial" w:hAnsi="Arial" w:cs="Arial"/>
                <w:sz w:val="22"/>
                <w:szCs w:val="22"/>
              </w:rPr>
              <w:t xml:space="preserve"> services. </w:t>
            </w:r>
          </w:p>
        </w:tc>
      </w:tr>
      <w:tr w:rsidR="0031043B" w14:paraId="02794D87" w14:textId="77777777" w:rsidTr="00AB6492">
        <w:trPr>
          <w:cantSplit/>
          <w:trHeight w:val="484"/>
          <w:tblHeader/>
        </w:trPr>
        <w:tc>
          <w:tcPr>
            <w:tcW w:w="4627" w:type="dxa"/>
            <w:vMerge/>
          </w:tcPr>
          <w:p w14:paraId="3A29B282" w14:textId="77777777" w:rsidR="0031043B" w:rsidRDefault="0031043B" w:rsidP="00BA01C5">
            <w:pPr>
              <w:pStyle w:val="ListParagraph"/>
              <w:spacing w:line="240" w:lineRule="auto"/>
              <w:ind w:left="317" w:hanging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</w:tcBorders>
          </w:tcPr>
          <w:p w14:paraId="6CB1F7B8" w14:textId="607DB2EC" w:rsidR="0031043B" w:rsidRDefault="0031043B" w:rsidP="005E78F4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14F92">
              <w:rPr>
                <w:rFonts w:ascii="Arial" w:hAnsi="Arial" w:cs="Arial"/>
                <w:sz w:val="22"/>
                <w:szCs w:val="22"/>
              </w:rPr>
              <w:t>Explain the impact of different types of security</w:t>
            </w:r>
            <w:r w:rsidR="00932F40">
              <w:rPr>
                <w:rFonts w:ascii="Arial" w:hAnsi="Arial" w:cs="Arial"/>
                <w:sz w:val="22"/>
                <w:szCs w:val="22"/>
              </w:rPr>
              <w:t>,</w:t>
            </w:r>
            <w:r w:rsidRPr="00014F92">
              <w:rPr>
                <w:rFonts w:ascii="Arial" w:hAnsi="Arial" w:cs="Arial"/>
                <w:sz w:val="22"/>
                <w:szCs w:val="22"/>
              </w:rPr>
              <w:t xml:space="preserve"> and appropriate form of charge.</w:t>
            </w:r>
          </w:p>
        </w:tc>
      </w:tr>
      <w:tr w:rsidR="00F60677" w14:paraId="238CEC09" w14:textId="77777777" w:rsidTr="00AB6492">
        <w:trPr>
          <w:cantSplit/>
          <w:trHeight w:val="484"/>
          <w:tblHeader/>
        </w:trPr>
        <w:tc>
          <w:tcPr>
            <w:tcW w:w="4627" w:type="dxa"/>
            <w:vMerge/>
          </w:tcPr>
          <w:p w14:paraId="30EC4CFF" w14:textId="77777777" w:rsidR="00F60677" w:rsidRDefault="00F60677" w:rsidP="00BA01C5">
            <w:pPr>
              <w:pStyle w:val="ListParagraph"/>
              <w:spacing w:line="240" w:lineRule="auto"/>
              <w:ind w:left="317" w:hanging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</w:tcBorders>
          </w:tcPr>
          <w:p w14:paraId="7452B23E" w14:textId="057C8EC0" w:rsidR="00F60677" w:rsidRDefault="00F60677" w:rsidP="005E78F4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Apply </w:t>
            </w:r>
            <w:r w:rsidR="001306A5">
              <w:rPr>
                <w:rFonts w:ascii="Arial" w:hAnsi="Arial" w:cs="Arial"/>
                <w:sz w:val="22"/>
                <w:szCs w:val="22"/>
              </w:rPr>
              <w:t>key</w:t>
            </w:r>
            <w:r w:rsidR="003C64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306A5">
              <w:rPr>
                <w:rFonts w:ascii="Arial" w:hAnsi="Arial" w:cs="Arial"/>
                <w:sz w:val="22"/>
                <w:szCs w:val="22"/>
              </w:rPr>
              <w:t>lending concepts</w:t>
            </w:r>
            <w:r w:rsidR="00DF59BF">
              <w:rPr>
                <w:rFonts w:ascii="Arial" w:hAnsi="Arial" w:cs="Arial"/>
                <w:sz w:val="22"/>
                <w:szCs w:val="22"/>
              </w:rPr>
              <w:t xml:space="preserve"> and frameworks to</w:t>
            </w:r>
            <w:r w:rsidR="00DF59BF" w:rsidRPr="000501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1065">
              <w:rPr>
                <w:rFonts w:ascii="Arial" w:hAnsi="Arial" w:cs="Arial"/>
                <w:sz w:val="22"/>
                <w:szCs w:val="22"/>
              </w:rPr>
              <w:t xml:space="preserve">types of </w:t>
            </w:r>
            <w:proofErr w:type="gramStart"/>
            <w:r w:rsidR="00171065">
              <w:rPr>
                <w:rFonts w:ascii="Arial" w:hAnsi="Arial" w:cs="Arial"/>
                <w:sz w:val="22"/>
                <w:szCs w:val="22"/>
              </w:rPr>
              <w:t>client</w:t>
            </w:r>
            <w:r w:rsidR="00B45168">
              <w:rPr>
                <w:rFonts w:ascii="Arial" w:hAnsi="Arial" w:cs="Arial"/>
                <w:sz w:val="22"/>
                <w:szCs w:val="22"/>
              </w:rPr>
              <w:t>’s</w:t>
            </w:r>
            <w:proofErr w:type="gramEnd"/>
            <w:r w:rsidR="00171065">
              <w:rPr>
                <w:rFonts w:ascii="Arial" w:hAnsi="Arial" w:cs="Arial"/>
                <w:sz w:val="22"/>
                <w:szCs w:val="22"/>
              </w:rPr>
              <w:t xml:space="preserve"> borrowing </w:t>
            </w:r>
            <w:r w:rsidR="00995EE7">
              <w:rPr>
                <w:rFonts w:ascii="Arial" w:hAnsi="Arial" w:cs="Arial"/>
                <w:sz w:val="22"/>
                <w:szCs w:val="22"/>
              </w:rPr>
              <w:t>needs</w:t>
            </w:r>
            <w:r w:rsidR="00DF59BF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</w:tbl>
    <w:p w14:paraId="5F4CCBC4" w14:textId="77777777" w:rsidR="00972EBC" w:rsidRDefault="00972EBC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6D40224" w14:textId="77777777" w:rsidR="0099335A" w:rsidRPr="00B077ED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aromatawai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me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te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taumata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paearu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B077ED">
        <w:rPr>
          <w:rFonts w:ascii="Arial" w:hAnsi="Arial" w:cs="Arial"/>
          <w:color w:val="000000" w:themeColor="text1"/>
          <w:sz w:val="22"/>
          <w:szCs w:val="22"/>
        </w:rPr>
        <w:t>Assessment information and grade criteria</w:t>
      </w:r>
    </w:p>
    <w:p w14:paraId="01D0EB00" w14:textId="4E630030" w:rsidR="0099335A" w:rsidRDefault="0099335A" w:rsidP="00DC70E1">
      <w:pPr>
        <w:spacing w:line="240" w:lineRule="auto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B077ED">
        <w:rPr>
          <w:rFonts w:ascii="Arial" w:hAnsi="Arial" w:cs="Arial"/>
          <w:i/>
          <w:iCs/>
          <w:color w:val="000000" w:themeColor="text1"/>
          <w:sz w:val="22"/>
          <w:szCs w:val="22"/>
        </w:rPr>
        <w:t>Assessment specifications:</w:t>
      </w:r>
    </w:p>
    <w:p w14:paraId="3140BB89" w14:textId="77777777" w:rsidR="00D54300" w:rsidRDefault="00D54300" w:rsidP="00D54300">
      <w:pPr>
        <w:spacing w:line="240" w:lineRule="auto"/>
        <w:rPr>
          <w:rFonts w:ascii="Arial" w:hAnsi="Arial" w:cs="Arial"/>
          <w:sz w:val="22"/>
          <w:szCs w:val="22"/>
        </w:rPr>
      </w:pPr>
      <w:commentRangeStart w:id="0"/>
      <w:r w:rsidRPr="005B622A">
        <w:rPr>
          <w:rFonts w:ascii="Arial" w:hAnsi="Arial" w:cs="Arial"/>
          <w:sz w:val="22"/>
          <w:szCs w:val="22"/>
        </w:rPr>
        <w:t>Assessment should use real or realistic documentation where appropriate. Simulated examples are permitted.</w:t>
      </w:r>
      <w:r>
        <w:rPr>
          <w:rFonts w:ascii="Arial" w:hAnsi="Arial" w:cs="Arial"/>
          <w:sz w:val="22"/>
          <w:szCs w:val="22"/>
        </w:rPr>
        <w:t xml:space="preserve"> </w:t>
      </w:r>
      <w:commentRangeEnd w:id="0"/>
      <w:r>
        <w:rPr>
          <w:rStyle w:val="CommentReference"/>
        </w:rPr>
        <w:commentReference w:id="0"/>
      </w:r>
    </w:p>
    <w:p w14:paraId="1B673DF4" w14:textId="77777777" w:rsidR="00D54300" w:rsidRDefault="00D54300" w:rsidP="00D54300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24408F">
        <w:rPr>
          <w:rFonts w:ascii="Arial" w:hAnsi="Arial" w:cs="Arial"/>
          <w:sz w:val="22"/>
          <w:szCs w:val="22"/>
        </w:rPr>
        <w:t>earners are not expected to use tools and systems that are only available if they are available to a licenced financial advice provider or having a licence to use.</w:t>
      </w:r>
    </w:p>
    <w:p w14:paraId="62C0828B" w14:textId="77777777" w:rsidR="00D54300" w:rsidRPr="004C55EC" w:rsidRDefault="00D54300" w:rsidP="00D54300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0B62F5">
        <w:rPr>
          <w:rFonts w:ascii="Arial" w:hAnsi="Arial" w:cs="Arial"/>
          <w:sz w:val="22"/>
          <w:szCs w:val="22"/>
        </w:rPr>
        <w:t>ny use of digital advice tools or artificial intelligence will need to be used in accordance with relevant organisational and industry codes of conduct and practice.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E5D0496" w14:textId="77777777" w:rsidR="00D54300" w:rsidRDefault="00D54300" w:rsidP="00D54300">
      <w:pPr>
        <w:spacing w:line="240" w:lineRule="auto"/>
        <w:rPr>
          <w:rFonts w:ascii="Arial" w:hAnsi="Arial" w:cs="Arial"/>
          <w:sz w:val="22"/>
          <w:szCs w:val="22"/>
        </w:rPr>
      </w:pPr>
      <w:r w:rsidRPr="00543BF9">
        <w:rPr>
          <w:rFonts w:ascii="Arial" w:hAnsi="Arial" w:cs="Arial"/>
          <w:sz w:val="22"/>
          <w:szCs w:val="22"/>
        </w:rPr>
        <w:lastRenderedPageBreak/>
        <w:t>All activities must comply with legislation, regulations, and best practice, including any guidance notes published by the agency responsible for the relevant enactment or code.</w:t>
      </w:r>
    </w:p>
    <w:p w14:paraId="2185AC29" w14:textId="676D7DD1" w:rsidR="00D54300" w:rsidRDefault="00D54300" w:rsidP="00D54300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C</w:t>
      </w:r>
      <w:r w:rsidRPr="004D1896">
        <w:rPr>
          <w:rFonts w:ascii="Arial" w:hAnsi="Arial" w:cs="Arial"/>
          <w:i/>
          <w:iCs/>
          <w:sz w:val="22"/>
          <w:szCs w:val="22"/>
        </w:rPr>
        <w:t>lient</w:t>
      </w:r>
      <w:r>
        <w:rPr>
          <w:rFonts w:ascii="Arial" w:hAnsi="Arial" w:cs="Arial"/>
          <w:sz w:val="22"/>
          <w:szCs w:val="22"/>
        </w:rPr>
        <w:t xml:space="preserve"> also includes potential clients. </w:t>
      </w:r>
      <w:r w:rsidR="00920E36">
        <w:rPr>
          <w:rFonts w:ascii="Arial" w:hAnsi="Arial" w:cs="Arial"/>
          <w:sz w:val="22"/>
          <w:szCs w:val="22"/>
        </w:rPr>
        <w:t xml:space="preserve">Clients may include Trust, individual, family, joint.  </w:t>
      </w:r>
    </w:p>
    <w:p w14:paraId="3AA84925" w14:textId="77777777" w:rsidR="0090660F" w:rsidRPr="00836D34" w:rsidRDefault="0090660F" w:rsidP="0090660F">
      <w:pPr>
        <w:spacing w:line="240" w:lineRule="auto"/>
        <w:rPr>
          <w:rFonts w:ascii="Arial" w:hAnsi="Arial" w:cs="Arial"/>
          <w:sz w:val="22"/>
          <w:szCs w:val="22"/>
        </w:rPr>
      </w:pPr>
      <w:r w:rsidRPr="00836D34">
        <w:rPr>
          <w:rFonts w:ascii="Arial" w:hAnsi="Arial" w:cs="Arial"/>
          <w:i/>
          <w:iCs/>
          <w:sz w:val="22"/>
          <w:szCs w:val="22"/>
        </w:rPr>
        <w:t xml:space="preserve">Client </w:t>
      </w:r>
      <w:r w:rsidRPr="00836D34">
        <w:rPr>
          <w:rFonts w:ascii="Arial" w:hAnsi="Arial" w:cs="Arial"/>
          <w:sz w:val="22"/>
          <w:szCs w:val="22"/>
        </w:rPr>
        <w:t>is intentionally broad to capture all types and include, individuals, partnerships, businesses, families, companies, trusts, charities, organisations, body corporates, and associations as current examples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67E304E" w14:textId="2499C6F1" w:rsidR="00F875E5" w:rsidRDefault="00F875E5" w:rsidP="00F875E5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Evidence must show three different types of </w:t>
      </w:r>
      <w:proofErr w:type="gramStart"/>
      <w:r>
        <w:rPr>
          <w:rFonts w:ascii="Arial" w:hAnsi="Arial" w:cs="Arial"/>
          <w:sz w:val="22"/>
          <w:szCs w:val="22"/>
        </w:rPr>
        <w:t>client</w:t>
      </w:r>
      <w:proofErr w:type="gramEnd"/>
      <w:r>
        <w:rPr>
          <w:rFonts w:ascii="Arial" w:hAnsi="Arial" w:cs="Arial"/>
          <w:sz w:val="22"/>
          <w:szCs w:val="22"/>
        </w:rPr>
        <w:t xml:space="preserve"> borrowing situations. </w:t>
      </w:r>
    </w:p>
    <w:p w14:paraId="7D0E4D9D" w14:textId="702D557B" w:rsidR="00F62EAF" w:rsidRPr="00F62EAF" w:rsidRDefault="00F62EAF" w:rsidP="00DC70E1">
      <w:pPr>
        <w:spacing w:line="240" w:lineRule="auto"/>
        <w:rPr>
          <w:rFonts w:ascii="Arial" w:hAnsi="Arial" w:cs="Arial"/>
          <w:i/>
          <w:iCs/>
          <w:sz w:val="22"/>
          <w:szCs w:val="22"/>
        </w:rPr>
      </w:pPr>
      <w:r w:rsidRPr="00F62EAF">
        <w:rPr>
          <w:rFonts w:ascii="Arial" w:hAnsi="Arial" w:cs="Arial"/>
          <w:i/>
          <w:iCs/>
          <w:sz w:val="22"/>
          <w:szCs w:val="22"/>
        </w:rPr>
        <w:t>Definitions</w:t>
      </w:r>
    </w:p>
    <w:p w14:paraId="313FB0BB" w14:textId="2CDEC33F" w:rsidR="00F62EAF" w:rsidRPr="00F62EAF" w:rsidRDefault="00F62EAF" w:rsidP="00F62EAF">
      <w:pPr>
        <w:widowControl w:val="0"/>
        <w:spacing w:line="240" w:lineRule="auto"/>
        <w:rPr>
          <w:rFonts w:ascii="Arial" w:hAnsi="Arial" w:cs="Arial"/>
          <w:sz w:val="22"/>
          <w:szCs w:val="22"/>
        </w:rPr>
      </w:pPr>
      <w:r w:rsidRPr="00F62EAF">
        <w:rPr>
          <w:rFonts w:ascii="Arial" w:hAnsi="Arial" w:cs="Arial"/>
          <w:i/>
          <w:sz w:val="22"/>
          <w:szCs w:val="22"/>
        </w:rPr>
        <w:t xml:space="preserve">Existing loan context </w:t>
      </w:r>
      <w:r w:rsidR="00721D3C">
        <w:rPr>
          <w:rFonts w:ascii="Arial" w:hAnsi="Arial" w:cs="Arial"/>
          <w:sz w:val="22"/>
          <w:szCs w:val="22"/>
        </w:rPr>
        <w:t xml:space="preserve">refers to </w:t>
      </w:r>
      <w:r w:rsidRPr="00F62EAF">
        <w:rPr>
          <w:rFonts w:ascii="Arial" w:hAnsi="Arial" w:cs="Arial"/>
          <w:sz w:val="22"/>
          <w:szCs w:val="22"/>
        </w:rPr>
        <w:t>management, reassessment, collections and recoveries of personal loans already made.</w:t>
      </w:r>
    </w:p>
    <w:p w14:paraId="736BC25C" w14:textId="18819EBB" w:rsidR="00F62EAF" w:rsidRPr="00F62EAF" w:rsidRDefault="00F62EAF" w:rsidP="00F62EAF">
      <w:pPr>
        <w:widowControl w:val="0"/>
        <w:spacing w:line="240" w:lineRule="auto"/>
        <w:rPr>
          <w:rFonts w:ascii="Arial" w:hAnsi="Arial" w:cs="Arial"/>
          <w:sz w:val="22"/>
          <w:szCs w:val="22"/>
        </w:rPr>
      </w:pPr>
      <w:r w:rsidRPr="00F62EAF">
        <w:rPr>
          <w:rFonts w:ascii="Arial" w:hAnsi="Arial" w:cs="Arial"/>
          <w:i/>
          <w:sz w:val="22"/>
          <w:szCs w:val="22"/>
        </w:rPr>
        <w:t xml:space="preserve">New loan context </w:t>
      </w:r>
      <w:r w:rsidR="00721D3C">
        <w:rPr>
          <w:rFonts w:ascii="Arial" w:hAnsi="Arial" w:cs="Arial"/>
          <w:sz w:val="22"/>
          <w:szCs w:val="22"/>
        </w:rPr>
        <w:t>refers to</w:t>
      </w:r>
      <w:r w:rsidRPr="00F62EAF">
        <w:rPr>
          <w:rFonts w:ascii="Arial" w:hAnsi="Arial" w:cs="Arial"/>
          <w:sz w:val="22"/>
          <w:szCs w:val="22"/>
        </w:rPr>
        <w:t xml:space="preserve"> application, assessment, and approval of new personal loans.</w:t>
      </w:r>
    </w:p>
    <w:p w14:paraId="080C27C1" w14:textId="16C18114" w:rsidR="00F62EAF" w:rsidRPr="00F62EAF" w:rsidRDefault="00F62EAF" w:rsidP="00F62EAF">
      <w:pPr>
        <w:widowControl w:val="0"/>
        <w:spacing w:line="240" w:lineRule="auto"/>
        <w:rPr>
          <w:rFonts w:ascii="Arial" w:hAnsi="Arial" w:cs="Arial"/>
          <w:sz w:val="22"/>
          <w:szCs w:val="22"/>
        </w:rPr>
      </w:pPr>
      <w:r w:rsidRPr="00F62EAF">
        <w:rPr>
          <w:rFonts w:ascii="Arial" w:hAnsi="Arial" w:cs="Arial"/>
          <w:i/>
          <w:sz w:val="22"/>
          <w:szCs w:val="22"/>
        </w:rPr>
        <w:t>Lending frameworks</w:t>
      </w:r>
      <w:r w:rsidRPr="00F62EAF">
        <w:rPr>
          <w:rFonts w:ascii="Arial" w:hAnsi="Arial" w:cs="Arial"/>
          <w:sz w:val="22"/>
          <w:szCs w:val="22"/>
        </w:rPr>
        <w:t xml:space="preserve"> </w:t>
      </w:r>
      <w:r w:rsidR="00721D3C">
        <w:rPr>
          <w:rFonts w:ascii="Arial" w:hAnsi="Arial" w:cs="Arial"/>
          <w:sz w:val="22"/>
          <w:szCs w:val="22"/>
        </w:rPr>
        <w:t>refers to</w:t>
      </w:r>
      <w:r w:rsidRPr="00F62EAF">
        <w:rPr>
          <w:rFonts w:ascii="Arial" w:hAnsi="Arial" w:cs="Arial"/>
          <w:sz w:val="22"/>
          <w:szCs w:val="22"/>
        </w:rPr>
        <w:t xml:space="preserve"> organisational policies, procedures, and guidelines that set out requirements and criteria that apply to loan application, assessment, approval, management, reassessment, collections and/or recoveries.  Policies may cover trigger points for activation of policy, process to initiate action, and escalation triggers.</w:t>
      </w:r>
    </w:p>
    <w:p w14:paraId="3EE47893" w14:textId="23A893B1" w:rsidR="009F2894" w:rsidRPr="009F2894" w:rsidRDefault="00F62EAF" w:rsidP="009F2894">
      <w:pPr>
        <w:widowControl w:val="0"/>
        <w:spacing w:line="240" w:lineRule="auto"/>
        <w:rPr>
          <w:rFonts w:ascii="Arial" w:hAnsi="Arial" w:cs="Arial"/>
          <w:sz w:val="22"/>
          <w:szCs w:val="22"/>
        </w:rPr>
      </w:pPr>
      <w:r w:rsidRPr="00F62EAF">
        <w:rPr>
          <w:rFonts w:ascii="Arial" w:hAnsi="Arial" w:cs="Arial"/>
          <w:i/>
          <w:sz w:val="22"/>
          <w:szCs w:val="22"/>
        </w:rPr>
        <w:t>Regulatory framework</w:t>
      </w:r>
      <w:r>
        <w:rPr>
          <w:rFonts w:cs="Cambria"/>
          <w:iCs/>
          <w:sz w:val="24"/>
          <w:szCs w:val="24"/>
        </w:rPr>
        <w:t xml:space="preserve"> </w:t>
      </w:r>
      <w:r w:rsidR="00721D3C" w:rsidRPr="00721D3C">
        <w:rPr>
          <w:rFonts w:ascii="Arial" w:hAnsi="Arial" w:cs="Arial"/>
          <w:iCs/>
          <w:sz w:val="22"/>
          <w:szCs w:val="22"/>
        </w:rPr>
        <w:t>refers to</w:t>
      </w:r>
      <w:r w:rsidR="00721D3C">
        <w:rPr>
          <w:rFonts w:cs="Cambria"/>
          <w:iCs/>
          <w:sz w:val="24"/>
          <w:szCs w:val="24"/>
        </w:rPr>
        <w:t xml:space="preserve"> </w:t>
      </w:r>
      <w:r w:rsidRPr="00F62EAF">
        <w:rPr>
          <w:rFonts w:ascii="Arial" w:hAnsi="Arial" w:cs="Arial"/>
          <w:sz w:val="22"/>
          <w:szCs w:val="22"/>
        </w:rPr>
        <w:t>legislation, regulations, codes of conduct and/or practice as</w:t>
      </w:r>
      <w:r w:rsidR="009F2894">
        <w:rPr>
          <w:rFonts w:ascii="Arial" w:hAnsi="Arial" w:cs="Arial"/>
          <w:sz w:val="22"/>
          <w:szCs w:val="22"/>
        </w:rPr>
        <w:t xml:space="preserve"> </w:t>
      </w:r>
      <w:r w:rsidR="009F2894" w:rsidRPr="009F2894">
        <w:rPr>
          <w:rFonts w:ascii="Arial" w:hAnsi="Arial" w:cs="Arial"/>
          <w:sz w:val="22"/>
          <w:szCs w:val="22"/>
        </w:rPr>
        <w:t>they apply to financial services and the provision of personal</w:t>
      </w:r>
      <w:r w:rsidR="001673DD">
        <w:rPr>
          <w:rFonts w:ascii="Arial" w:hAnsi="Arial" w:cs="Arial"/>
          <w:sz w:val="22"/>
          <w:szCs w:val="22"/>
        </w:rPr>
        <w:t>, and residential property</w:t>
      </w:r>
      <w:r w:rsidR="009F2894" w:rsidRPr="009F2894">
        <w:rPr>
          <w:rFonts w:ascii="Arial" w:hAnsi="Arial" w:cs="Arial"/>
          <w:sz w:val="22"/>
          <w:szCs w:val="22"/>
        </w:rPr>
        <w:t xml:space="preserve"> lending services.</w:t>
      </w:r>
    </w:p>
    <w:p w14:paraId="129A936E" w14:textId="5DF26B74" w:rsidR="00F62EAF" w:rsidRDefault="00F62EAF" w:rsidP="00F62EAF">
      <w:pPr>
        <w:spacing w:line="240" w:lineRule="auto"/>
        <w:rPr>
          <w:rFonts w:ascii="Arial" w:hAnsi="Arial" w:cs="Arial"/>
          <w:sz w:val="22"/>
          <w:szCs w:val="22"/>
        </w:rPr>
      </w:pPr>
    </w:p>
    <w:p w14:paraId="49525274" w14:textId="763212A4" w:rsidR="0099335A" w:rsidRPr="00B43186" w:rsidRDefault="0099335A" w:rsidP="00DC70E1">
      <w:pPr>
        <w:spacing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Ngā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momo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whiwhinga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| </w:t>
      </w:r>
      <w:r w:rsidRPr="00B43186">
        <w:rPr>
          <w:rFonts w:ascii="Arial" w:hAnsi="Arial" w:cs="Arial"/>
          <w:i/>
          <w:iCs/>
          <w:color w:val="000000" w:themeColor="text1"/>
          <w:sz w:val="22"/>
          <w:szCs w:val="22"/>
        </w:rPr>
        <w:t>Grades available</w:t>
      </w:r>
    </w:p>
    <w:p w14:paraId="3AA13FD0" w14:textId="08094E53" w:rsidR="0099335A" w:rsidRDefault="0099335A" w:rsidP="00DC70E1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Achieved </w:t>
      </w:r>
    </w:p>
    <w:p w14:paraId="07454F67" w14:textId="77777777" w:rsidR="00232403" w:rsidRDefault="0023240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26758BEB" w14:textId="06856F65" w:rsidR="0099335A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Ihirangi </w:t>
      </w:r>
      <w:proofErr w:type="spellStart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>waitohu</w:t>
      </w:r>
      <w:proofErr w:type="spellEnd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664DAB">
        <w:rPr>
          <w:rFonts w:ascii="Arial" w:hAnsi="Arial" w:cs="Arial"/>
          <w:color w:val="000000" w:themeColor="text1"/>
          <w:sz w:val="22"/>
          <w:szCs w:val="22"/>
        </w:rPr>
        <w:t>Indicative content</w:t>
      </w:r>
    </w:p>
    <w:p w14:paraId="37214F93" w14:textId="45D496A7" w:rsidR="00EA6F11" w:rsidRDefault="00EA6F11" w:rsidP="00DC70E1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Regulatory framework, legislation, and conduct</w:t>
      </w:r>
      <w:r w:rsidR="008B2AB0">
        <w:rPr>
          <w:rFonts w:ascii="Arial" w:hAnsi="Arial" w:cs="Arial"/>
          <w:sz w:val="22"/>
          <w:szCs w:val="22"/>
        </w:rPr>
        <w:t xml:space="preserve"> obligations </w:t>
      </w:r>
    </w:p>
    <w:p w14:paraId="2AE213D2" w14:textId="0AA3F160" w:rsidR="00156132" w:rsidRPr="00156132" w:rsidRDefault="00156132" w:rsidP="003474BD">
      <w:pPr>
        <w:pStyle w:val="ListParagraph"/>
        <w:numPr>
          <w:ilvl w:val="0"/>
          <w:numId w:val="54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legislation</w:t>
      </w:r>
    </w:p>
    <w:p w14:paraId="523798C1" w14:textId="1BD66316" w:rsidR="00156132" w:rsidRPr="00156132" w:rsidRDefault="00156132" w:rsidP="003474BD">
      <w:pPr>
        <w:pStyle w:val="ListParagraph"/>
        <w:numPr>
          <w:ilvl w:val="0"/>
          <w:numId w:val="54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regulations</w:t>
      </w:r>
    </w:p>
    <w:p w14:paraId="6158D378" w14:textId="5DEC196E" w:rsidR="00BD3934" w:rsidRPr="00BD3934" w:rsidRDefault="00BD3934" w:rsidP="00BD3934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</w:t>
      </w:r>
      <w:r w:rsidRPr="00BD3934">
        <w:rPr>
          <w:rFonts w:ascii="Arial" w:hAnsi="Arial" w:cs="Arial"/>
          <w:color w:val="000000" w:themeColor="text1"/>
          <w:sz w:val="22"/>
          <w:szCs w:val="22"/>
        </w:rPr>
        <w:t>ontract – for example Sales and Purchase Agreement</w:t>
      </w:r>
      <w:r w:rsidR="0027579E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071DDEBD" w14:textId="518BFC4B" w:rsidR="004362A1" w:rsidRDefault="00E564F6" w:rsidP="00DC70E1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Key roles</w:t>
      </w:r>
      <w:r w:rsidR="00D10EEF">
        <w:rPr>
          <w:rFonts w:ascii="Arial" w:hAnsi="Arial" w:cs="Arial"/>
          <w:sz w:val="22"/>
          <w:szCs w:val="22"/>
        </w:rPr>
        <w:t xml:space="preserve"> </w:t>
      </w:r>
      <w:r w:rsidR="001C2327">
        <w:rPr>
          <w:rFonts w:ascii="Arial" w:hAnsi="Arial" w:cs="Arial"/>
          <w:sz w:val="22"/>
          <w:szCs w:val="22"/>
        </w:rPr>
        <w:t xml:space="preserve">for Personal Lending </w:t>
      </w:r>
    </w:p>
    <w:p w14:paraId="41DAAAAC" w14:textId="105F86D9" w:rsidR="00E564F6" w:rsidRPr="004B0C90" w:rsidRDefault="004B0C90" w:rsidP="00BB6F34">
      <w:pPr>
        <w:pStyle w:val="ListParagraph"/>
        <w:numPr>
          <w:ilvl w:val="0"/>
          <w:numId w:val="55"/>
        </w:numPr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4B0C90">
        <w:rPr>
          <w:rFonts w:ascii="Arial" w:hAnsi="Arial" w:cs="Arial"/>
          <w:sz w:val="22"/>
          <w:szCs w:val="22"/>
        </w:rPr>
        <w:t>ender</w:t>
      </w:r>
      <w:r w:rsidR="00B7679F">
        <w:rPr>
          <w:rFonts w:ascii="Arial" w:hAnsi="Arial" w:cs="Arial"/>
          <w:sz w:val="22"/>
          <w:szCs w:val="22"/>
        </w:rPr>
        <w:t xml:space="preserve"> </w:t>
      </w:r>
    </w:p>
    <w:p w14:paraId="0D212673" w14:textId="6AE3CB7B" w:rsidR="004B0C90" w:rsidRPr="004B0C90" w:rsidRDefault="004B0C90" w:rsidP="00BB6F34">
      <w:pPr>
        <w:pStyle w:val="ListParagraph"/>
        <w:numPr>
          <w:ilvl w:val="0"/>
          <w:numId w:val="55"/>
        </w:numPr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4B0C90">
        <w:rPr>
          <w:rFonts w:ascii="Arial" w:hAnsi="Arial" w:cs="Arial"/>
          <w:sz w:val="22"/>
          <w:szCs w:val="22"/>
        </w:rPr>
        <w:t>ntermediary</w:t>
      </w:r>
    </w:p>
    <w:p w14:paraId="788ADC63" w14:textId="65ED0F50" w:rsidR="00BB6F34" w:rsidRDefault="00725FFD" w:rsidP="00BB6F34">
      <w:pPr>
        <w:pStyle w:val="ListParagraph"/>
        <w:numPr>
          <w:ilvl w:val="0"/>
          <w:numId w:val="55"/>
        </w:numPr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loan approval or </w:t>
      </w:r>
      <w:r w:rsidR="00C60691">
        <w:rPr>
          <w:rFonts w:ascii="Arial" w:hAnsi="Arial" w:cs="Arial"/>
          <w:sz w:val="22"/>
          <w:szCs w:val="22"/>
        </w:rPr>
        <w:t xml:space="preserve">decline </w:t>
      </w:r>
      <w:r w:rsidR="00BB6F34" w:rsidRPr="00BB6F34">
        <w:rPr>
          <w:rFonts w:ascii="Arial" w:hAnsi="Arial" w:cs="Arial"/>
          <w:sz w:val="22"/>
          <w:szCs w:val="22"/>
        </w:rPr>
        <w:t>decision-maker</w:t>
      </w:r>
      <w:r w:rsidR="00BB6F34">
        <w:rPr>
          <w:rFonts w:ascii="Arial" w:hAnsi="Arial" w:cs="Arial"/>
          <w:sz w:val="22"/>
          <w:szCs w:val="22"/>
        </w:rPr>
        <w:t>s</w:t>
      </w:r>
      <w:r w:rsidR="001C2327">
        <w:rPr>
          <w:rFonts w:ascii="Arial" w:hAnsi="Arial" w:cs="Arial"/>
          <w:sz w:val="22"/>
          <w:szCs w:val="22"/>
        </w:rPr>
        <w:t>.</w:t>
      </w:r>
    </w:p>
    <w:p w14:paraId="46A17EDA" w14:textId="67C973CE" w:rsidR="001C2327" w:rsidRDefault="001C2327" w:rsidP="001C2327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Key roles for </w:t>
      </w:r>
      <w:r w:rsidR="003B1564">
        <w:rPr>
          <w:rFonts w:ascii="Arial" w:hAnsi="Arial" w:cs="Arial"/>
          <w:sz w:val="22"/>
          <w:szCs w:val="22"/>
        </w:rPr>
        <w:t>Residential Property Lending</w:t>
      </w:r>
    </w:p>
    <w:p w14:paraId="48905A31" w14:textId="77777777" w:rsidR="006F37CF" w:rsidRPr="00C73ADD" w:rsidRDefault="006F37CF" w:rsidP="00BD3934">
      <w:pPr>
        <w:pStyle w:val="ListParagraph"/>
        <w:numPr>
          <w:ilvl w:val="0"/>
          <w:numId w:val="57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 w:rsidRPr="00C73ADD">
        <w:rPr>
          <w:rFonts w:ascii="Arial" w:hAnsi="Arial" w:cs="Arial"/>
          <w:color w:val="000000" w:themeColor="text1"/>
          <w:sz w:val="22"/>
          <w:szCs w:val="22"/>
        </w:rPr>
        <w:t xml:space="preserve">lender (registered bank and non-bank lenders) </w:t>
      </w:r>
    </w:p>
    <w:p w14:paraId="64E0D58D" w14:textId="77777777" w:rsidR="006F37CF" w:rsidRDefault="006F37CF" w:rsidP="00BD3934">
      <w:pPr>
        <w:pStyle w:val="ListParagraph"/>
        <w:numPr>
          <w:ilvl w:val="0"/>
          <w:numId w:val="57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 w:rsidRPr="00C73ADD">
        <w:rPr>
          <w:rFonts w:ascii="Arial" w:hAnsi="Arial" w:cs="Arial"/>
          <w:color w:val="000000" w:themeColor="text1"/>
          <w:sz w:val="22"/>
          <w:szCs w:val="22"/>
        </w:rPr>
        <w:t>mortgage adviser</w:t>
      </w:r>
    </w:p>
    <w:p w14:paraId="206D7491" w14:textId="77777777" w:rsidR="006F37CF" w:rsidRPr="00C73ADD" w:rsidRDefault="006F37CF" w:rsidP="00BD3934">
      <w:pPr>
        <w:pStyle w:val="ListParagraph"/>
        <w:numPr>
          <w:ilvl w:val="0"/>
          <w:numId w:val="57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 w:rsidRPr="00C73ADD">
        <w:rPr>
          <w:rFonts w:ascii="Arial" w:hAnsi="Arial" w:cs="Arial"/>
          <w:color w:val="000000" w:themeColor="text1"/>
          <w:sz w:val="22"/>
          <w:szCs w:val="22"/>
        </w:rPr>
        <w:t>solicitor</w:t>
      </w:r>
    </w:p>
    <w:p w14:paraId="221D9932" w14:textId="77777777" w:rsidR="006F37CF" w:rsidRPr="00C73ADD" w:rsidRDefault="006F37CF" w:rsidP="00BD3934">
      <w:pPr>
        <w:pStyle w:val="ListParagraph"/>
        <w:numPr>
          <w:ilvl w:val="0"/>
          <w:numId w:val="57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 w:rsidRPr="00C73ADD">
        <w:rPr>
          <w:rFonts w:ascii="Arial" w:hAnsi="Arial" w:cs="Arial"/>
          <w:color w:val="000000" w:themeColor="text1"/>
          <w:sz w:val="22"/>
          <w:szCs w:val="22"/>
        </w:rPr>
        <w:t>registered valuer</w:t>
      </w:r>
    </w:p>
    <w:p w14:paraId="648AE7AE" w14:textId="77777777" w:rsidR="006F37CF" w:rsidRPr="00C73ADD" w:rsidRDefault="006F37CF" w:rsidP="00BD3934">
      <w:pPr>
        <w:pStyle w:val="ListParagraph"/>
        <w:numPr>
          <w:ilvl w:val="0"/>
          <w:numId w:val="57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 w:rsidRPr="00C73ADD">
        <w:rPr>
          <w:rFonts w:ascii="Arial" w:hAnsi="Arial" w:cs="Arial"/>
          <w:color w:val="000000" w:themeColor="text1"/>
          <w:sz w:val="22"/>
          <w:szCs w:val="22"/>
        </w:rPr>
        <w:t>real estate agent</w:t>
      </w:r>
    </w:p>
    <w:p w14:paraId="3FE6FA38" w14:textId="77777777" w:rsidR="006F37CF" w:rsidRPr="00C73ADD" w:rsidRDefault="006F37CF" w:rsidP="00BD3934">
      <w:pPr>
        <w:pStyle w:val="ListParagraph"/>
        <w:numPr>
          <w:ilvl w:val="0"/>
          <w:numId w:val="57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 w:rsidRPr="00C73ADD">
        <w:rPr>
          <w:rFonts w:ascii="Arial" w:hAnsi="Arial" w:cs="Arial"/>
          <w:color w:val="000000" w:themeColor="text1"/>
          <w:sz w:val="22"/>
          <w:szCs w:val="22"/>
        </w:rPr>
        <w:t>conveyancer</w:t>
      </w:r>
    </w:p>
    <w:p w14:paraId="1B1A016D" w14:textId="77777777" w:rsidR="006F37CF" w:rsidRPr="00C73ADD" w:rsidRDefault="006F37CF" w:rsidP="00BD3934">
      <w:pPr>
        <w:pStyle w:val="ListParagraph"/>
        <w:numPr>
          <w:ilvl w:val="0"/>
          <w:numId w:val="57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 w:rsidRPr="00C73ADD">
        <w:rPr>
          <w:rFonts w:ascii="Arial" w:hAnsi="Arial" w:cs="Arial"/>
          <w:color w:val="000000" w:themeColor="text1"/>
          <w:sz w:val="22"/>
          <w:szCs w:val="22"/>
        </w:rPr>
        <w:t>accountant</w:t>
      </w:r>
    </w:p>
    <w:p w14:paraId="4FB56639" w14:textId="77777777" w:rsidR="006F37CF" w:rsidRPr="00C73ADD" w:rsidRDefault="006F37CF" w:rsidP="00BD3934">
      <w:pPr>
        <w:pStyle w:val="ListParagraph"/>
        <w:numPr>
          <w:ilvl w:val="0"/>
          <w:numId w:val="57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 w:rsidRPr="00C73ADD">
        <w:rPr>
          <w:rFonts w:ascii="Arial" w:hAnsi="Arial" w:cs="Arial"/>
          <w:color w:val="000000" w:themeColor="text1"/>
          <w:sz w:val="22"/>
          <w:szCs w:val="22"/>
        </w:rPr>
        <w:t>insurance adviser</w:t>
      </w:r>
    </w:p>
    <w:p w14:paraId="7D1F7850" w14:textId="77777777" w:rsidR="006F37CF" w:rsidRPr="00C73ADD" w:rsidRDefault="006F37CF" w:rsidP="00BD3934">
      <w:pPr>
        <w:pStyle w:val="ListParagraph"/>
        <w:numPr>
          <w:ilvl w:val="0"/>
          <w:numId w:val="57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 w:rsidRPr="00C73ADD">
        <w:rPr>
          <w:rFonts w:ascii="Arial" w:hAnsi="Arial" w:cs="Arial"/>
          <w:color w:val="000000" w:themeColor="text1"/>
          <w:sz w:val="22"/>
          <w:szCs w:val="22"/>
        </w:rPr>
        <w:t>property manager.</w:t>
      </w:r>
    </w:p>
    <w:p w14:paraId="596BFAE0" w14:textId="56779961" w:rsidR="00950D41" w:rsidRDefault="00A33A03" w:rsidP="00950D41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Key</w:t>
      </w:r>
      <w:r w:rsidR="001129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lending concepts</w:t>
      </w:r>
    </w:p>
    <w:p w14:paraId="096FF313" w14:textId="784E2921" w:rsidR="00FC3425" w:rsidRDefault="00FC3425" w:rsidP="00FC3425">
      <w:pPr>
        <w:pStyle w:val="ListParagraph"/>
        <w:numPr>
          <w:ilvl w:val="0"/>
          <w:numId w:val="52"/>
        </w:numPr>
        <w:tabs>
          <w:tab w:val="left" w:pos="1134"/>
          <w:tab w:val="left" w:pos="2552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FC3425">
        <w:rPr>
          <w:rFonts w:ascii="Arial" w:hAnsi="Arial" w:cs="Arial"/>
          <w:sz w:val="22"/>
          <w:szCs w:val="22"/>
        </w:rPr>
        <w:t>financial position</w:t>
      </w:r>
    </w:p>
    <w:p w14:paraId="1C15138F" w14:textId="4EC25721" w:rsidR="00FC3425" w:rsidRPr="00FC3425" w:rsidRDefault="00FC3425" w:rsidP="00FC3425">
      <w:pPr>
        <w:pStyle w:val="ListParagraph"/>
        <w:numPr>
          <w:ilvl w:val="0"/>
          <w:numId w:val="52"/>
        </w:numPr>
        <w:tabs>
          <w:tab w:val="left" w:pos="1134"/>
          <w:tab w:val="left" w:pos="2552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FC3425">
        <w:rPr>
          <w:rFonts w:ascii="Arial" w:hAnsi="Arial" w:cs="Arial"/>
          <w:sz w:val="22"/>
          <w:szCs w:val="22"/>
        </w:rPr>
        <w:t>security</w:t>
      </w:r>
    </w:p>
    <w:p w14:paraId="505AEB00" w14:textId="10956C13" w:rsidR="00FC3425" w:rsidRPr="00FC3425" w:rsidRDefault="00FC3425" w:rsidP="00FC3425">
      <w:pPr>
        <w:pStyle w:val="ListParagraph"/>
        <w:numPr>
          <w:ilvl w:val="0"/>
          <w:numId w:val="52"/>
        </w:numPr>
        <w:tabs>
          <w:tab w:val="left" w:pos="1134"/>
          <w:tab w:val="left" w:pos="2552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FC3425">
        <w:rPr>
          <w:rFonts w:ascii="Arial" w:hAnsi="Arial" w:cs="Arial"/>
          <w:sz w:val="22"/>
          <w:szCs w:val="22"/>
        </w:rPr>
        <w:t>serviceability</w:t>
      </w:r>
    </w:p>
    <w:p w14:paraId="657EC44A" w14:textId="6BD99E76" w:rsidR="00FC3425" w:rsidRPr="00FC3425" w:rsidRDefault="00FC3425" w:rsidP="00FC3425">
      <w:pPr>
        <w:pStyle w:val="ListParagraph"/>
        <w:numPr>
          <w:ilvl w:val="0"/>
          <w:numId w:val="52"/>
        </w:numPr>
        <w:tabs>
          <w:tab w:val="left" w:pos="1134"/>
          <w:tab w:val="left" w:pos="2552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FC3425">
        <w:rPr>
          <w:rFonts w:ascii="Arial" w:hAnsi="Arial" w:cs="Arial"/>
          <w:sz w:val="22"/>
          <w:szCs w:val="22"/>
        </w:rPr>
        <w:lastRenderedPageBreak/>
        <w:t>purpose for lending</w:t>
      </w:r>
    </w:p>
    <w:p w14:paraId="65FDEB35" w14:textId="6F1C5EDC" w:rsidR="00FC3425" w:rsidRDefault="00FC3425" w:rsidP="00FC3425">
      <w:pPr>
        <w:pStyle w:val="ListParagraph"/>
        <w:numPr>
          <w:ilvl w:val="0"/>
          <w:numId w:val="52"/>
        </w:numPr>
        <w:tabs>
          <w:tab w:val="left" w:pos="1134"/>
          <w:tab w:val="left" w:pos="2552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FC3425">
        <w:rPr>
          <w:rFonts w:ascii="Arial" w:hAnsi="Arial" w:cs="Arial"/>
          <w:sz w:val="22"/>
          <w:szCs w:val="22"/>
        </w:rPr>
        <w:t>client profile</w:t>
      </w:r>
      <w:r w:rsidR="003B76B7">
        <w:rPr>
          <w:rFonts w:ascii="Arial" w:hAnsi="Arial" w:cs="Arial"/>
          <w:sz w:val="22"/>
          <w:szCs w:val="22"/>
        </w:rPr>
        <w:t>.</w:t>
      </w:r>
    </w:p>
    <w:p w14:paraId="5E89CD73" w14:textId="1D48060A" w:rsidR="00487326" w:rsidRPr="001C231A" w:rsidRDefault="00487326" w:rsidP="00487326">
      <w:pPr>
        <w:spacing w:line="240" w:lineRule="auto"/>
        <w:rPr>
          <w:rFonts w:ascii="Arial" w:hAnsi="Arial" w:cs="Arial"/>
          <w:sz w:val="22"/>
          <w:szCs w:val="22"/>
        </w:rPr>
      </w:pPr>
      <w:r w:rsidRPr="001C231A">
        <w:rPr>
          <w:rFonts w:ascii="Arial" w:hAnsi="Arial" w:cs="Arial"/>
          <w:sz w:val="22"/>
          <w:szCs w:val="22"/>
        </w:rPr>
        <w:t xml:space="preserve">Client </w:t>
      </w:r>
      <w:r w:rsidR="003B76B7">
        <w:rPr>
          <w:rFonts w:ascii="Arial" w:hAnsi="Arial" w:cs="Arial"/>
          <w:sz w:val="22"/>
          <w:szCs w:val="22"/>
        </w:rPr>
        <w:t>profile</w:t>
      </w:r>
      <w:r w:rsidR="00251F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79BAEE9" w14:textId="77777777" w:rsidR="00487326" w:rsidRPr="00FD7395" w:rsidRDefault="00487326" w:rsidP="00487326">
      <w:pPr>
        <w:pStyle w:val="ListParagraph"/>
        <w:numPr>
          <w:ilvl w:val="0"/>
          <w:numId w:val="52"/>
        </w:numPr>
        <w:tabs>
          <w:tab w:val="left" w:pos="1134"/>
          <w:tab w:val="left" w:pos="2552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FD7395">
        <w:rPr>
          <w:rFonts w:ascii="Arial" w:hAnsi="Arial" w:cs="Arial"/>
          <w:sz w:val="22"/>
          <w:szCs w:val="22"/>
        </w:rPr>
        <w:t>both positive and negative credit history</w:t>
      </w:r>
    </w:p>
    <w:p w14:paraId="5A91FD54" w14:textId="77777777" w:rsidR="00487326" w:rsidRPr="00FD7395" w:rsidRDefault="00487326" w:rsidP="00487326">
      <w:pPr>
        <w:pStyle w:val="ListParagraph"/>
        <w:numPr>
          <w:ilvl w:val="0"/>
          <w:numId w:val="52"/>
        </w:numPr>
        <w:tabs>
          <w:tab w:val="left" w:pos="1134"/>
          <w:tab w:val="left" w:pos="2552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FD7395">
        <w:rPr>
          <w:rFonts w:ascii="Arial" w:hAnsi="Arial" w:cs="Arial"/>
          <w:sz w:val="22"/>
          <w:szCs w:val="22"/>
        </w:rPr>
        <w:t>stability of employment and accommodation</w:t>
      </w:r>
    </w:p>
    <w:p w14:paraId="2DB073CE" w14:textId="77777777" w:rsidR="00487326" w:rsidRPr="00FD7395" w:rsidRDefault="00487326" w:rsidP="00487326">
      <w:pPr>
        <w:pStyle w:val="ListParagraph"/>
        <w:numPr>
          <w:ilvl w:val="0"/>
          <w:numId w:val="52"/>
        </w:numPr>
        <w:tabs>
          <w:tab w:val="left" w:pos="1134"/>
          <w:tab w:val="left" w:pos="2552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FD7395">
        <w:rPr>
          <w:rFonts w:ascii="Arial" w:hAnsi="Arial" w:cs="Arial"/>
          <w:sz w:val="22"/>
          <w:szCs w:val="22"/>
        </w:rPr>
        <w:t>life stage</w:t>
      </w:r>
    </w:p>
    <w:p w14:paraId="65577C14" w14:textId="77777777" w:rsidR="00487326" w:rsidRPr="00FD7395" w:rsidRDefault="00487326" w:rsidP="00487326">
      <w:pPr>
        <w:pStyle w:val="ListParagraph"/>
        <w:numPr>
          <w:ilvl w:val="0"/>
          <w:numId w:val="52"/>
        </w:numPr>
        <w:tabs>
          <w:tab w:val="left" w:pos="1134"/>
          <w:tab w:val="left" w:pos="2552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FD7395">
        <w:rPr>
          <w:rFonts w:ascii="Arial" w:hAnsi="Arial" w:cs="Arial"/>
          <w:sz w:val="22"/>
          <w:szCs w:val="22"/>
        </w:rPr>
        <w:t>willingness to meet commitments</w:t>
      </w:r>
    </w:p>
    <w:p w14:paraId="683FE7BA" w14:textId="1AB82AC6" w:rsidR="00487326" w:rsidRDefault="00487326" w:rsidP="00487326">
      <w:pPr>
        <w:pStyle w:val="ListParagraph"/>
        <w:numPr>
          <w:ilvl w:val="0"/>
          <w:numId w:val="52"/>
        </w:numPr>
        <w:tabs>
          <w:tab w:val="left" w:pos="1134"/>
          <w:tab w:val="left" w:pos="2552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FD7395">
        <w:rPr>
          <w:rFonts w:ascii="Arial" w:hAnsi="Arial" w:cs="Arial"/>
          <w:sz w:val="22"/>
          <w:szCs w:val="22"/>
        </w:rPr>
        <w:t>financial understanding</w:t>
      </w:r>
    </w:p>
    <w:p w14:paraId="674DF8DE" w14:textId="5204531C" w:rsidR="00011DD1" w:rsidRDefault="00011DD1" w:rsidP="00487326">
      <w:pPr>
        <w:pStyle w:val="ListParagraph"/>
        <w:numPr>
          <w:ilvl w:val="0"/>
          <w:numId w:val="52"/>
        </w:numPr>
        <w:tabs>
          <w:tab w:val="left" w:pos="1134"/>
          <w:tab w:val="left" w:pos="2552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serviceability</w:t>
      </w:r>
    </w:p>
    <w:p w14:paraId="7D761774" w14:textId="4394CDEF" w:rsidR="00011DD1" w:rsidRDefault="00104FD5" w:rsidP="00487326">
      <w:pPr>
        <w:pStyle w:val="ListParagraph"/>
        <w:numPr>
          <w:ilvl w:val="0"/>
          <w:numId w:val="52"/>
        </w:numPr>
        <w:tabs>
          <w:tab w:val="left" w:pos="1134"/>
          <w:tab w:val="left" w:pos="2552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client profile. </w:t>
      </w:r>
    </w:p>
    <w:p w14:paraId="216C6955" w14:textId="53205483" w:rsidR="007F0B2B" w:rsidRDefault="007F0B2B" w:rsidP="007F0B2B">
      <w:pPr>
        <w:tabs>
          <w:tab w:val="left" w:pos="1134"/>
          <w:tab w:val="left" w:pos="2552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Security </w:t>
      </w:r>
      <w:r w:rsidR="00D52B96">
        <w:rPr>
          <w:rFonts w:ascii="Arial" w:hAnsi="Arial" w:cs="Arial"/>
          <w:sz w:val="22"/>
          <w:szCs w:val="22"/>
        </w:rPr>
        <w:t xml:space="preserve">and appropriate form of charge </w:t>
      </w:r>
    </w:p>
    <w:p w14:paraId="1A72ECE7" w14:textId="45988673" w:rsidR="007F0B2B" w:rsidRPr="00D52B96" w:rsidRDefault="007F0B2B" w:rsidP="00D52B96">
      <w:pPr>
        <w:pStyle w:val="ListParagraph"/>
        <w:numPr>
          <w:ilvl w:val="0"/>
          <w:numId w:val="59"/>
        </w:numPr>
        <w:tabs>
          <w:tab w:val="left" w:pos="1134"/>
          <w:tab w:val="left" w:pos="2552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D52B96">
        <w:rPr>
          <w:rFonts w:ascii="Arial" w:hAnsi="Arial" w:cs="Arial"/>
          <w:sz w:val="22"/>
          <w:szCs w:val="22"/>
        </w:rPr>
        <w:t xml:space="preserve">Residential Property Lending may include </w:t>
      </w:r>
      <w:r w:rsidR="008246BB">
        <w:rPr>
          <w:rFonts w:ascii="Arial" w:hAnsi="Arial" w:cs="Arial"/>
          <w:sz w:val="22"/>
          <w:szCs w:val="22"/>
        </w:rPr>
        <w:t xml:space="preserve">Caveat, </w:t>
      </w:r>
      <w:r w:rsidRPr="00D52B96">
        <w:rPr>
          <w:rFonts w:ascii="Arial" w:hAnsi="Arial" w:cs="Arial"/>
          <w:sz w:val="22"/>
          <w:szCs w:val="22"/>
        </w:rPr>
        <w:t xml:space="preserve">First mortgage, </w:t>
      </w:r>
      <w:r w:rsidR="008246BB">
        <w:rPr>
          <w:rFonts w:ascii="Arial" w:hAnsi="Arial" w:cs="Arial"/>
          <w:sz w:val="22"/>
          <w:szCs w:val="22"/>
        </w:rPr>
        <w:t>S</w:t>
      </w:r>
      <w:r w:rsidRPr="00D52B96">
        <w:rPr>
          <w:rFonts w:ascii="Arial" w:hAnsi="Arial" w:cs="Arial"/>
          <w:sz w:val="22"/>
          <w:szCs w:val="22"/>
        </w:rPr>
        <w:t xml:space="preserve">econd mortgage </w:t>
      </w:r>
    </w:p>
    <w:p w14:paraId="0998E2EC" w14:textId="441BC66B" w:rsidR="007F0B2B" w:rsidRPr="00D52B96" w:rsidRDefault="007F0B2B" w:rsidP="00D52B96">
      <w:pPr>
        <w:pStyle w:val="ListParagraph"/>
        <w:numPr>
          <w:ilvl w:val="0"/>
          <w:numId w:val="59"/>
        </w:numPr>
        <w:tabs>
          <w:tab w:val="left" w:pos="1134"/>
          <w:tab w:val="left" w:pos="2552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D52B96">
        <w:rPr>
          <w:rFonts w:ascii="Arial" w:hAnsi="Arial" w:cs="Arial"/>
          <w:sz w:val="22"/>
          <w:szCs w:val="22"/>
        </w:rPr>
        <w:t>Personal Lending: Caveat</w:t>
      </w:r>
      <w:r w:rsidR="00D52B96" w:rsidRPr="00D52B96">
        <w:rPr>
          <w:rFonts w:ascii="Arial" w:hAnsi="Arial" w:cs="Arial"/>
          <w:sz w:val="22"/>
          <w:szCs w:val="22"/>
        </w:rPr>
        <w:t>, vehicle</w:t>
      </w:r>
      <w:r w:rsidR="00BB76B1">
        <w:rPr>
          <w:rFonts w:ascii="Arial" w:hAnsi="Arial" w:cs="Arial"/>
          <w:sz w:val="22"/>
          <w:szCs w:val="22"/>
        </w:rPr>
        <w:t xml:space="preserve">. </w:t>
      </w:r>
    </w:p>
    <w:p w14:paraId="07890EDF" w14:textId="3EC7A250" w:rsidR="00A33A03" w:rsidRDefault="00BB62F9" w:rsidP="00950D41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Key lending frameworks</w:t>
      </w:r>
    </w:p>
    <w:p w14:paraId="60AF3006" w14:textId="77777777" w:rsidR="001C231A" w:rsidRDefault="001C231A" w:rsidP="001A0FBC">
      <w:pPr>
        <w:pStyle w:val="ListParagraph"/>
        <w:numPr>
          <w:ilvl w:val="0"/>
          <w:numId w:val="56"/>
        </w:numPr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credit policy</w:t>
      </w:r>
    </w:p>
    <w:p w14:paraId="05E336EB" w14:textId="77777777" w:rsidR="001C231A" w:rsidRDefault="001C231A" w:rsidP="001A0FBC">
      <w:pPr>
        <w:pStyle w:val="ListParagraph"/>
        <w:numPr>
          <w:ilvl w:val="0"/>
          <w:numId w:val="56"/>
        </w:numPr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credit approval</w:t>
      </w:r>
    </w:p>
    <w:p w14:paraId="113E25B9" w14:textId="6B185BDD" w:rsidR="001C231A" w:rsidRDefault="001C231A" w:rsidP="00251FA3">
      <w:pPr>
        <w:pStyle w:val="ListParagraph"/>
        <w:numPr>
          <w:ilvl w:val="0"/>
          <w:numId w:val="56"/>
        </w:numPr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hierarchy of credit approval</w:t>
      </w:r>
      <w:r w:rsidR="004739CD">
        <w:rPr>
          <w:rFonts w:ascii="Arial" w:hAnsi="Arial" w:cs="Arial"/>
          <w:sz w:val="22"/>
          <w:szCs w:val="22"/>
        </w:rPr>
        <w:t xml:space="preserve">. </w:t>
      </w:r>
    </w:p>
    <w:p w14:paraId="60CF9F42" w14:textId="77777777" w:rsidR="00251FA3" w:rsidRPr="00EF6A6A" w:rsidRDefault="00251FA3" w:rsidP="00251FA3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</w:t>
      </w:r>
      <w:r w:rsidRPr="00EF6A6A">
        <w:rPr>
          <w:rFonts w:ascii="Arial" w:hAnsi="Arial" w:cs="Arial"/>
          <w:color w:val="000000" w:themeColor="text1"/>
          <w:sz w:val="22"/>
          <w:szCs w:val="22"/>
        </w:rPr>
        <w:t>ommon trigger points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for lending policy </w:t>
      </w:r>
    </w:p>
    <w:p w14:paraId="181D88D6" w14:textId="77777777" w:rsidR="00251FA3" w:rsidRPr="00B46B63" w:rsidRDefault="00251FA3" w:rsidP="00251FA3">
      <w:pPr>
        <w:pStyle w:val="ListParagraph"/>
        <w:numPr>
          <w:ilvl w:val="0"/>
          <w:numId w:val="58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B46B63">
        <w:rPr>
          <w:rFonts w:ascii="Arial" w:hAnsi="Arial" w:cs="Arial"/>
          <w:color w:val="000000" w:themeColor="text1"/>
          <w:sz w:val="22"/>
          <w:szCs w:val="22"/>
        </w:rPr>
        <w:t>activation of policy</w:t>
      </w:r>
    </w:p>
    <w:p w14:paraId="401735C3" w14:textId="77777777" w:rsidR="00251FA3" w:rsidRPr="00B46B63" w:rsidRDefault="00251FA3" w:rsidP="00251FA3">
      <w:pPr>
        <w:pStyle w:val="ListParagraph"/>
        <w:numPr>
          <w:ilvl w:val="0"/>
          <w:numId w:val="58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B46B63">
        <w:rPr>
          <w:rFonts w:ascii="Arial" w:hAnsi="Arial" w:cs="Arial"/>
          <w:color w:val="000000" w:themeColor="text1"/>
          <w:sz w:val="22"/>
          <w:szCs w:val="22"/>
        </w:rPr>
        <w:t>process to initiate action</w:t>
      </w:r>
    </w:p>
    <w:p w14:paraId="55764045" w14:textId="77777777" w:rsidR="00251FA3" w:rsidRPr="00EF6A6A" w:rsidRDefault="00251FA3" w:rsidP="00251FA3">
      <w:pPr>
        <w:pStyle w:val="ListParagraph"/>
        <w:numPr>
          <w:ilvl w:val="0"/>
          <w:numId w:val="58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B46B63">
        <w:rPr>
          <w:rFonts w:ascii="Arial" w:hAnsi="Arial" w:cs="Arial"/>
          <w:color w:val="000000" w:themeColor="text1"/>
          <w:sz w:val="22"/>
          <w:szCs w:val="22"/>
        </w:rPr>
        <w:t>escalation triggers.</w:t>
      </w:r>
    </w:p>
    <w:p w14:paraId="3F167DFC" w14:textId="77777777" w:rsidR="00950D41" w:rsidRPr="00950D41" w:rsidRDefault="00950D41" w:rsidP="00950D41">
      <w:pPr>
        <w:spacing w:line="240" w:lineRule="auto"/>
        <w:rPr>
          <w:rFonts w:ascii="Arial" w:hAnsi="Arial" w:cs="Arial"/>
          <w:sz w:val="22"/>
          <w:szCs w:val="22"/>
        </w:rPr>
      </w:pPr>
    </w:p>
    <w:p w14:paraId="6A4E93F4" w14:textId="638ED620" w:rsidR="0099335A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42401C">
        <w:rPr>
          <w:rFonts w:ascii="Arial" w:hAnsi="Arial" w:cs="Arial"/>
          <w:b/>
          <w:bCs/>
          <w:color w:val="000000" w:themeColor="text1"/>
          <w:sz w:val="22"/>
          <w:szCs w:val="22"/>
        </w:rPr>
        <w:t>Rauemi</w:t>
      </w:r>
      <w:proofErr w:type="spellEnd"/>
      <w:r w:rsidRPr="0042401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42401C">
        <w:rPr>
          <w:rFonts w:ascii="Arial" w:hAnsi="Arial" w:cs="Arial"/>
          <w:color w:val="000000" w:themeColor="text1"/>
          <w:sz w:val="22"/>
          <w:szCs w:val="22"/>
        </w:rPr>
        <w:t>Resources</w:t>
      </w:r>
    </w:p>
    <w:p w14:paraId="6160E548" w14:textId="61C7E33E" w:rsidR="00350E37" w:rsidRPr="00350E37" w:rsidRDefault="00350E37" w:rsidP="00234770">
      <w:pPr>
        <w:pStyle w:val="ListParagraph"/>
        <w:numPr>
          <w:ilvl w:val="0"/>
          <w:numId w:val="50"/>
        </w:numPr>
        <w:tabs>
          <w:tab w:val="left" w:pos="567"/>
        </w:tabs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350E37">
        <w:rPr>
          <w:rFonts w:ascii="Arial" w:hAnsi="Arial" w:cs="Arial"/>
          <w:color w:val="000000" w:themeColor="text1"/>
          <w:sz w:val="22"/>
          <w:szCs w:val="22"/>
        </w:rPr>
        <w:t>Anti-Money Laundering and Countering Financing of Terrorism Act 2009</w:t>
      </w:r>
    </w:p>
    <w:p w14:paraId="5D48EF38" w14:textId="5A21E7D6" w:rsidR="00350E37" w:rsidRPr="00350E37" w:rsidRDefault="00350E37" w:rsidP="00234770">
      <w:pPr>
        <w:pStyle w:val="ListParagraph"/>
        <w:numPr>
          <w:ilvl w:val="0"/>
          <w:numId w:val="50"/>
        </w:numPr>
        <w:tabs>
          <w:tab w:val="left" w:pos="567"/>
        </w:tabs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350E37">
        <w:rPr>
          <w:rFonts w:ascii="Arial" w:hAnsi="Arial" w:cs="Arial"/>
          <w:color w:val="000000" w:themeColor="text1"/>
          <w:sz w:val="22"/>
          <w:szCs w:val="22"/>
        </w:rPr>
        <w:t>Code of Banking Practice 2018</w:t>
      </w:r>
    </w:p>
    <w:p w14:paraId="520E1F0B" w14:textId="7555CFD1" w:rsidR="00350E37" w:rsidRPr="00350E37" w:rsidRDefault="00350E37" w:rsidP="00234770">
      <w:pPr>
        <w:pStyle w:val="ListParagraph"/>
        <w:widowControl w:val="0"/>
        <w:numPr>
          <w:ilvl w:val="0"/>
          <w:numId w:val="50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hyperlink r:id="rId15" w:history="1">
        <w:r w:rsidRPr="00450F85">
          <w:rPr>
            <w:rStyle w:val="Hyperlink"/>
            <w:rFonts w:ascii="Arial" w:hAnsi="Arial" w:cs="Arial"/>
            <w:sz w:val="22"/>
            <w:szCs w:val="22"/>
          </w:rPr>
          <w:t>Code of Professional Conduct for Financial Advice Services</w:t>
        </w:r>
      </w:hyperlink>
      <w:r w:rsidR="00450F8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02C9D1D3" w14:textId="2D65CFEB" w:rsidR="00350E37" w:rsidRPr="00350E37" w:rsidRDefault="00350E37" w:rsidP="00234770">
      <w:pPr>
        <w:pStyle w:val="ListParagraph"/>
        <w:numPr>
          <w:ilvl w:val="0"/>
          <w:numId w:val="50"/>
        </w:numPr>
        <w:tabs>
          <w:tab w:val="left" w:pos="567"/>
        </w:tabs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350E37">
        <w:rPr>
          <w:rFonts w:ascii="Arial" w:hAnsi="Arial" w:cs="Arial"/>
          <w:color w:val="000000" w:themeColor="text1"/>
          <w:sz w:val="22"/>
          <w:szCs w:val="22"/>
        </w:rPr>
        <w:t>Consumer Guarantees Act 1993</w:t>
      </w:r>
    </w:p>
    <w:p w14:paraId="1383438D" w14:textId="671BB7C4" w:rsidR="00350E37" w:rsidRDefault="00350E37" w:rsidP="00234770">
      <w:pPr>
        <w:pStyle w:val="ListParagraph"/>
        <w:numPr>
          <w:ilvl w:val="0"/>
          <w:numId w:val="50"/>
        </w:numPr>
        <w:tabs>
          <w:tab w:val="left" w:pos="567"/>
        </w:tabs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350E37">
        <w:rPr>
          <w:rFonts w:ascii="Arial" w:hAnsi="Arial" w:cs="Arial"/>
          <w:color w:val="000000" w:themeColor="text1"/>
          <w:sz w:val="22"/>
          <w:szCs w:val="22"/>
        </w:rPr>
        <w:t>Credit Contracts and Consumer Finance Act 2003</w:t>
      </w:r>
    </w:p>
    <w:p w14:paraId="17DDE97E" w14:textId="77777777" w:rsidR="00E35A72" w:rsidRPr="005F3721" w:rsidRDefault="00E35A72" w:rsidP="00E35A72">
      <w:pPr>
        <w:pStyle w:val="ListParagraph"/>
        <w:numPr>
          <w:ilvl w:val="0"/>
          <w:numId w:val="50"/>
        </w:numPr>
        <w:spacing w:after="0" w:line="240" w:lineRule="auto"/>
        <w:ind w:left="284" w:hanging="284"/>
        <w:rPr>
          <w:rStyle w:val="Hyperlink"/>
          <w:rFonts w:ascii="Arial" w:hAnsi="Arial" w:cs="Arial"/>
          <w:sz w:val="22"/>
          <w:szCs w:val="22"/>
        </w:rPr>
      </w:pPr>
      <w:r w:rsidRPr="00505834">
        <w:rPr>
          <w:rFonts w:ascii="Arial" w:hAnsi="Arial" w:cs="Arial"/>
          <w:color w:val="000000" w:themeColor="text1"/>
          <w:sz w:val="22"/>
          <w:szCs w:val="22"/>
        </w:rPr>
        <w:t xml:space="preserve">Customer vulnerability and expectations for providers - </w:t>
      </w:r>
      <w:hyperlink r:id="rId16" w:history="1">
        <w:r w:rsidRPr="005F3721">
          <w:rPr>
            <w:rStyle w:val="Hyperlink"/>
            <w:rFonts w:ascii="Arial" w:hAnsi="Arial" w:cs="Arial"/>
            <w:sz w:val="22"/>
            <w:szCs w:val="22"/>
          </w:rPr>
          <w:t>CustomerVulnerability-ourexpectationsforproviders.pdf (fma.govt.nz)</w:t>
        </w:r>
      </w:hyperlink>
      <w:r w:rsidRPr="005F3721">
        <w:rPr>
          <w:rStyle w:val="Hyperlink"/>
          <w:rFonts w:ascii="Arial" w:hAnsi="Arial" w:cs="Arial"/>
          <w:sz w:val="22"/>
          <w:szCs w:val="22"/>
        </w:rPr>
        <w:t xml:space="preserve"> </w:t>
      </w:r>
    </w:p>
    <w:p w14:paraId="2DC33F09" w14:textId="72C0BCE6" w:rsidR="00350E37" w:rsidRDefault="00350E37" w:rsidP="00E35A72">
      <w:pPr>
        <w:pStyle w:val="ListParagraph"/>
        <w:numPr>
          <w:ilvl w:val="0"/>
          <w:numId w:val="50"/>
        </w:numPr>
        <w:tabs>
          <w:tab w:val="left" w:pos="567"/>
        </w:tabs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350E37">
        <w:rPr>
          <w:rFonts w:ascii="Arial" w:hAnsi="Arial" w:cs="Arial"/>
          <w:color w:val="000000" w:themeColor="text1"/>
          <w:sz w:val="22"/>
          <w:szCs w:val="22"/>
        </w:rPr>
        <w:t>Fair Trading Act 1986</w:t>
      </w:r>
    </w:p>
    <w:p w14:paraId="18F52D0A" w14:textId="77777777" w:rsidR="00E35A72" w:rsidRPr="00350E37" w:rsidRDefault="00E35A72" w:rsidP="00E35A72">
      <w:pPr>
        <w:pStyle w:val="ListParagraph"/>
        <w:numPr>
          <w:ilvl w:val="0"/>
          <w:numId w:val="50"/>
        </w:numPr>
        <w:tabs>
          <w:tab w:val="left" w:pos="567"/>
        </w:tabs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hyperlink r:id="rId17" w:history="1">
        <w:r w:rsidRPr="00377608">
          <w:rPr>
            <w:rStyle w:val="Hyperlink"/>
            <w:rFonts w:ascii="Arial" w:hAnsi="Arial" w:cs="Arial"/>
            <w:sz w:val="22"/>
            <w:szCs w:val="22"/>
          </w:rPr>
          <w:t xml:space="preserve">Financial Markets Authority - Developing cyber resilience for financial advice providers </w:t>
        </w:r>
        <w:r w:rsidRPr="0066760C">
          <w:rPr>
            <w:rStyle w:val="Hyperlink"/>
            <w:rFonts w:ascii="Arial" w:hAnsi="Arial" w:cs="Arial"/>
            <w:sz w:val="22"/>
            <w:szCs w:val="22"/>
          </w:rPr>
          <w:t>(July 2024)</w:t>
        </w:r>
      </w:hyperlink>
    </w:p>
    <w:p w14:paraId="5F5C78E9" w14:textId="77777777" w:rsidR="00630353" w:rsidRPr="007F1FBE" w:rsidRDefault="00630353" w:rsidP="00234770">
      <w:pPr>
        <w:pStyle w:val="ListParagraph"/>
        <w:numPr>
          <w:ilvl w:val="0"/>
          <w:numId w:val="50"/>
        </w:numPr>
        <w:spacing w:after="0" w:line="240" w:lineRule="auto"/>
        <w:ind w:left="284" w:hanging="284"/>
        <w:rPr>
          <w:rFonts w:ascii="Arial" w:hAnsi="Arial" w:cs="Arial"/>
          <w:sz w:val="22"/>
          <w:szCs w:val="22"/>
        </w:rPr>
      </w:pPr>
      <w:r w:rsidRPr="007F1FBE">
        <w:rPr>
          <w:rFonts w:ascii="Arial" w:hAnsi="Arial" w:cs="Arial"/>
          <w:color w:val="000000" w:themeColor="text1"/>
          <w:sz w:val="22"/>
          <w:szCs w:val="22"/>
        </w:rPr>
        <w:t xml:space="preserve">Financial Markets Authority- </w:t>
      </w:r>
      <w:hyperlink r:id="rId18" w:history="1">
        <w:r w:rsidRPr="007F1FBE">
          <w:rPr>
            <w:rStyle w:val="Hyperlink"/>
            <w:rFonts w:ascii="Arial" w:hAnsi="Arial" w:cs="Arial"/>
            <w:sz w:val="22"/>
            <w:szCs w:val="22"/>
          </w:rPr>
          <w:t>Understanding Artificial Intelligence in Financial Services (July 2024)</w:t>
        </w:r>
      </w:hyperlink>
      <w:r w:rsidRPr="007F1FBE">
        <w:rPr>
          <w:rFonts w:ascii="Arial" w:hAnsi="Arial" w:cs="Arial"/>
          <w:color w:val="000000" w:themeColor="text1"/>
          <w:sz w:val="22"/>
          <w:szCs w:val="22"/>
        </w:rPr>
        <w:t xml:space="preserve"> by Mikayla </w:t>
      </w:r>
      <w:proofErr w:type="spellStart"/>
      <w:r w:rsidRPr="007F1FBE">
        <w:rPr>
          <w:rFonts w:ascii="Arial" w:hAnsi="Arial" w:cs="Arial"/>
          <w:color w:val="000000" w:themeColor="text1"/>
          <w:sz w:val="22"/>
          <w:szCs w:val="22"/>
        </w:rPr>
        <w:t>Pakinga</w:t>
      </w:r>
      <w:proofErr w:type="spellEnd"/>
      <w:r w:rsidRPr="007F1FBE">
        <w:rPr>
          <w:rFonts w:ascii="Arial" w:hAnsi="Arial" w:cs="Arial"/>
          <w:color w:val="000000" w:themeColor="text1"/>
          <w:sz w:val="22"/>
          <w:szCs w:val="22"/>
        </w:rPr>
        <w:t xml:space="preserve">-Lawson, Amie White, Stuart Johnson  </w:t>
      </w:r>
    </w:p>
    <w:p w14:paraId="3655F956" w14:textId="79E21EB3" w:rsidR="00350E37" w:rsidRPr="00350E37" w:rsidRDefault="00350E37" w:rsidP="00234770">
      <w:pPr>
        <w:pStyle w:val="ListParagraph"/>
        <w:numPr>
          <w:ilvl w:val="0"/>
          <w:numId w:val="50"/>
        </w:numPr>
        <w:tabs>
          <w:tab w:val="left" w:pos="567"/>
        </w:tabs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350E37">
        <w:rPr>
          <w:rFonts w:ascii="Arial" w:hAnsi="Arial" w:cs="Arial"/>
          <w:color w:val="000000" w:themeColor="text1"/>
          <w:sz w:val="22"/>
          <w:szCs w:val="22"/>
        </w:rPr>
        <w:t>Financial Markets Conduct Act 2013</w:t>
      </w:r>
    </w:p>
    <w:p w14:paraId="1B4B3382" w14:textId="1464A7F5" w:rsidR="00350E37" w:rsidRDefault="00350E37" w:rsidP="00234770">
      <w:pPr>
        <w:pStyle w:val="ListParagraph"/>
        <w:numPr>
          <w:ilvl w:val="0"/>
          <w:numId w:val="50"/>
        </w:numPr>
        <w:tabs>
          <w:tab w:val="left" w:pos="567"/>
        </w:tabs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350E37">
        <w:rPr>
          <w:rFonts w:ascii="Arial" w:hAnsi="Arial" w:cs="Arial"/>
          <w:color w:val="000000" w:themeColor="text1"/>
          <w:sz w:val="22"/>
          <w:szCs w:val="22"/>
        </w:rPr>
        <w:t>Financial Services Legislation Amendment Act 2019</w:t>
      </w:r>
    </w:p>
    <w:p w14:paraId="611C9E90" w14:textId="7AA00D87" w:rsidR="002B0568" w:rsidRPr="00C2688D" w:rsidRDefault="002B0568" w:rsidP="002B0568">
      <w:pPr>
        <w:pStyle w:val="ListParagraph"/>
        <w:numPr>
          <w:ilvl w:val="0"/>
          <w:numId w:val="50"/>
        </w:numPr>
        <w:tabs>
          <w:tab w:val="left" w:pos="142"/>
        </w:tabs>
        <w:ind w:left="284" w:hanging="284"/>
        <w:rPr>
          <w:rFonts w:cs="Arial"/>
          <w:szCs w:val="24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Pr="00C2688D">
        <w:rPr>
          <w:rFonts w:ascii="Arial" w:hAnsi="Arial" w:cs="Arial"/>
          <w:color w:val="000000" w:themeColor="text1"/>
          <w:sz w:val="22"/>
          <w:szCs w:val="22"/>
        </w:rPr>
        <w:t>ISO 22222 Personal Financial Planning - Requirements for personal financial planners, available from</w:t>
      </w:r>
      <w:r w:rsidRPr="00C2688D">
        <w:rPr>
          <w:rFonts w:cs="Arial"/>
          <w:szCs w:val="24"/>
        </w:rPr>
        <w:t xml:space="preserve"> </w:t>
      </w:r>
      <w:hyperlink r:id="rId19" w:history="1">
        <w:r w:rsidRPr="00C2688D">
          <w:rPr>
            <w:rStyle w:val="Hyperlink"/>
            <w:rFonts w:ascii="Arial" w:hAnsi="Arial" w:cs="Arial"/>
            <w:sz w:val="22"/>
            <w:szCs w:val="22"/>
          </w:rPr>
          <w:t>https://www.iso.org</w:t>
        </w:r>
      </w:hyperlink>
    </w:p>
    <w:p w14:paraId="2F03BED8" w14:textId="748C267C" w:rsidR="00350E37" w:rsidRDefault="00350E37" w:rsidP="00234770">
      <w:pPr>
        <w:pStyle w:val="ListParagraph"/>
        <w:numPr>
          <w:ilvl w:val="0"/>
          <w:numId w:val="50"/>
        </w:numPr>
        <w:tabs>
          <w:tab w:val="left" w:pos="567"/>
        </w:tabs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350E37">
        <w:rPr>
          <w:rFonts w:ascii="Arial" w:hAnsi="Arial" w:cs="Arial"/>
          <w:color w:val="000000" w:themeColor="text1"/>
          <w:sz w:val="22"/>
          <w:szCs w:val="22"/>
        </w:rPr>
        <w:t>KiwiSaver Act 2006</w:t>
      </w:r>
    </w:p>
    <w:p w14:paraId="0363F828" w14:textId="7EA80673" w:rsidR="00482C80" w:rsidRPr="00350E37" w:rsidRDefault="00482C80" w:rsidP="00234770">
      <w:pPr>
        <w:pStyle w:val="ListParagraph"/>
        <w:numPr>
          <w:ilvl w:val="0"/>
          <w:numId w:val="50"/>
        </w:numPr>
        <w:tabs>
          <w:tab w:val="left" w:pos="567"/>
        </w:tabs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Personal Property Securities Act 1999</w:t>
      </w:r>
    </w:p>
    <w:p w14:paraId="3DBD3C49" w14:textId="3FAD6400" w:rsidR="00350E37" w:rsidRPr="00350E37" w:rsidRDefault="00350E37" w:rsidP="00234770">
      <w:pPr>
        <w:pStyle w:val="ListParagraph"/>
        <w:numPr>
          <w:ilvl w:val="0"/>
          <w:numId w:val="50"/>
        </w:numPr>
        <w:tabs>
          <w:tab w:val="left" w:pos="567"/>
        </w:tabs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 w:rsidRPr="00350E37">
        <w:rPr>
          <w:rFonts w:ascii="Arial" w:hAnsi="Arial" w:cs="Arial"/>
          <w:sz w:val="22"/>
          <w:szCs w:val="22"/>
        </w:rPr>
        <w:t>Reserve Bank of New Zealand Act 1989</w:t>
      </w:r>
    </w:p>
    <w:p w14:paraId="1FBE91DD" w14:textId="78128520" w:rsidR="00350E37" w:rsidRPr="00350E37" w:rsidRDefault="00350E37" w:rsidP="00234770">
      <w:pPr>
        <w:pStyle w:val="ListParagraph"/>
        <w:numPr>
          <w:ilvl w:val="0"/>
          <w:numId w:val="50"/>
        </w:numPr>
        <w:tabs>
          <w:tab w:val="left" w:pos="567"/>
        </w:tabs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 w:rsidRPr="00350E37">
        <w:rPr>
          <w:rFonts w:ascii="Arial" w:hAnsi="Arial" w:cs="Arial"/>
          <w:sz w:val="22"/>
          <w:szCs w:val="22"/>
        </w:rPr>
        <w:t xml:space="preserve">Responsible Lending Guidelines, published by the Financial Services Federation, Wellington, 2019.  Available at </w:t>
      </w:r>
      <w:hyperlink r:id="rId20" w:history="1">
        <w:r w:rsidRPr="00350E37">
          <w:rPr>
            <w:rStyle w:val="Hyperlink"/>
            <w:rFonts w:ascii="Arial" w:hAnsi="Arial" w:cs="Arial"/>
            <w:sz w:val="22"/>
            <w:szCs w:val="22"/>
          </w:rPr>
          <w:t>www.fsf.org.nz</w:t>
        </w:r>
      </w:hyperlink>
    </w:p>
    <w:p w14:paraId="6CEEA0DA" w14:textId="21A99628" w:rsidR="00350E37" w:rsidRDefault="002B0568" w:rsidP="00234770">
      <w:pPr>
        <w:pStyle w:val="ListParagraph"/>
        <w:numPr>
          <w:ilvl w:val="0"/>
          <w:numId w:val="50"/>
        </w:numPr>
        <w:tabs>
          <w:tab w:val="left" w:pos="567"/>
        </w:tabs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350E37" w:rsidRPr="00350E37">
        <w:rPr>
          <w:rFonts w:ascii="Arial" w:hAnsi="Arial" w:cs="Arial"/>
          <w:sz w:val="22"/>
          <w:szCs w:val="22"/>
        </w:rPr>
        <w:t xml:space="preserve">elevant industry codes of </w:t>
      </w:r>
      <w:proofErr w:type="gramStart"/>
      <w:r w:rsidR="00350E37" w:rsidRPr="00350E37">
        <w:rPr>
          <w:rFonts w:ascii="Arial" w:hAnsi="Arial" w:cs="Arial"/>
          <w:sz w:val="22"/>
          <w:szCs w:val="22"/>
        </w:rPr>
        <w:t>conduct;</w:t>
      </w:r>
      <w:proofErr w:type="gramEnd"/>
    </w:p>
    <w:p w14:paraId="199DB5AC" w14:textId="77777777" w:rsidR="00350E37" w:rsidRPr="00350E37" w:rsidRDefault="00350E37" w:rsidP="00234770">
      <w:pPr>
        <w:pStyle w:val="ListParagraph"/>
        <w:tabs>
          <w:tab w:val="left" w:pos="567"/>
        </w:tabs>
        <w:spacing w:line="240" w:lineRule="auto"/>
        <w:ind w:left="284"/>
        <w:rPr>
          <w:rFonts w:ascii="Arial" w:hAnsi="Arial" w:cs="Arial"/>
          <w:sz w:val="22"/>
          <w:szCs w:val="22"/>
        </w:rPr>
      </w:pPr>
      <w:r w:rsidRPr="00350E37">
        <w:rPr>
          <w:rFonts w:ascii="Arial" w:hAnsi="Arial" w:cs="Arial"/>
          <w:sz w:val="22"/>
          <w:szCs w:val="22"/>
        </w:rPr>
        <w:t>and all subsequent amendments and replacements.</w:t>
      </w:r>
    </w:p>
    <w:p w14:paraId="6748C057" w14:textId="1ABA6F43" w:rsidR="0008628A" w:rsidRDefault="0008628A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10D5DAC7" w14:textId="77777777" w:rsidR="00D75F27" w:rsidRPr="00A2260E" w:rsidRDefault="00D75F27" w:rsidP="00DC70E1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bookmarkStart w:id="1" w:name="_Hlk111798136"/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Whakaū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Kounga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| </w:t>
      </w:r>
      <w:r w:rsidRPr="00C30139">
        <w:rPr>
          <w:rFonts w:ascii="Arial" w:hAnsi="Arial" w:cs="Arial"/>
          <w:sz w:val="22"/>
          <w:szCs w:val="22"/>
        </w:rPr>
        <w:t>Quality assurance information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23"/>
        <w:gridCol w:w="4706"/>
      </w:tblGrid>
      <w:tr w:rsidR="00D70473" w:rsidRPr="004046BA" w14:paraId="4B4E40C3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bookmarkEnd w:id="1"/>
          <w:p w14:paraId="0DCBB857" w14:textId="41A6347A" w:rsidR="00D70473" w:rsidRPr="007950E6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lastRenderedPageBreak/>
              <w:t>Ngā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rōpū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whakatau-paerewa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</w:t>
            </w:r>
            <w:r w:rsidR="0011068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Standard</w:t>
            </w:r>
            <w:r w:rsidR="00110689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Setting Body</w:t>
            </w:r>
          </w:p>
        </w:tc>
        <w:tc>
          <w:tcPr>
            <w:tcW w:w="4706" w:type="dxa"/>
          </w:tcPr>
          <w:p w14:paraId="5B6BA2B8" w14:textId="16E76F46" w:rsidR="00D70473" w:rsidRPr="002205DA" w:rsidRDefault="00C339DE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Ringa Hora Services Workforce Development Council </w:t>
            </w:r>
          </w:p>
        </w:tc>
      </w:tr>
      <w:tr w:rsidR="00D70473" w:rsidRPr="004046BA" w14:paraId="679D94FF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p w14:paraId="14176377" w14:textId="7A678D22" w:rsidR="00D70473" w:rsidRPr="007950E6" w:rsidRDefault="00B00002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Whakaritenga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Rārangi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Paetae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274A9E">
              <w:rPr>
                <w:rFonts w:ascii="Arial" w:hAnsi="Arial" w:cs="Arial"/>
                <w:color w:val="000000" w:themeColor="text1"/>
                <w:sz w:val="22"/>
                <w:szCs w:val="22"/>
              </w:rPr>
              <w:t>DASS classification</w:t>
            </w:r>
          </w:p>
        </w:tc>
        <w:tc>
          <w:tcPr>
            <w:tcW w:w="4706" w:type="dxa"/>
          </w:tcPr>
          <w:p w14:paraId="604F91EA" w14:textId="78E2756E" w:rsidR="00D70473" w:rsidRPr="004046BA" w:rsidRDefault="00FC3D6F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Service Sector&gt; Financial Services&gt; Professional Practice</w:t>
            </w:r>
          </w:p>
        </w:tc>
      </w:tr>
      <w:tr w:rsidR="00D70473" w:rsidRPr="004046BA" w14:paraId="5169D322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p w14:paraId="2369F66C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tohutoro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ki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ngā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Whakaritenga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Whakamanatanga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me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Whakaōritenga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D70473">
              <w:rPr>
                <w:rFonts w:ascii="Arial" w:hAnsi="Arial" w:cs="Arial"/>
                <w:sz w:val="22"/>
                <w:szCs w:val="22"/>
              </w:rPr>
              <w:t>CMR</w:t>
            </w:r>
          </w:p>
        </w:tc>
        <w:tc>
          <w:tcPr>
            <w:tcW w:w="4706" w:type="dxa"/>
          </w:tcPr>
          <w:p w14:paraId="331F4369" w14:textId="0DFACB1C" w:rsidR="0053752C" w:rsidRPr="004046BA" w:rsidRDefault="00FC3D6F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0003 </w:t>
            </w:r>
          </w:p>
        </w:tc>
      </w:tr>
    </w:tbl>
    <w:p w14:paraId="63D59DD6" w14:textId="77777777" w:rsidR="00D70473" w:rsidRPr="00DC70E1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5"/>
        <w:gridCol w:w="1868"/>
        <w:gridCol w:w="2168"/>
        <w:gridCol w:w="2538"/>
      </w:tblGrid>
      <w:tr w:rsidR="00D70473" w:rsidRPr="004046BA" w14:paraId="3FACF791" w14:textId="77777777" w:rsidTr="00DC70E1">
        <w:trPr>
          <w:cantSplit/>
        </w:trPr>
        <w:tc>
          <w:tcPr>
            <w:tcW w:w="3055" w:type="dxa"/>
            <w:shd w:val="clear" w:color="auto" w:fill="8DCCD2"/>
          </w:tcPr>
          <w:p w14:paraId="1514F67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Hātepe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Process</w:t>
            </w:r>
          </w:p>
        </w:tc>
        <w:tc>
          <w:tcPr>
            <w:tcW w:w="1868" w:type="dxa"/>
            <w:shd w:val="clear" w:color="auto" w:fill="8DCCD2"/>
          </w:tcPr>
          <w:p w14:paraId="603FA691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Putanga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Version</w:t>
            </w:r>
          </w:p>
        </w:tc>
        <w:tc>
          <w:tcPr>
            <w:tcW w:w="2168" w:type="dxa"/>
            <w:shd w:val="clear" w:color="auto" w:fill="8DCCD2"/>
          </w:tcPr>
          <w:p w14:paraId="04E5EE22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whakaputa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538" w:type="dxa"/>
            <w:shd w:val="clear" w:color="auto" w:fill="8DCCD2"/>
          </w:tcPr>
          <w:p w14:paraId="03ED3F9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whakamutunga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mō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aromatawai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Last date for assessment</w:t>
            </w:r>
          </w:p>
        </w:tc>
      </w:tr>
      <w:tr w:rsidR="00D70473" w:rsidRPr="004046BA" w14:paraId="0A303152" w14:textId="77777777" w:rsidTr="00DC70E1">
        <w:trPr>
          <w:cantSplit/>
        </w:trPr>
        <w:tc>
          <w:tcPr>
            <w:tcW w:w="3055" w:type="dxa"/>
          </w:tcPr>
          <w:p w14:paraId="69A2579B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>Rēhitatanga</w:t>
            </w:r>
            <w:proofErr w:type="spellEnd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46BA">
              <w:rPr>
                <w:rFonts w:ascii="Arial" w:hAnsi="Arial" w:cs="Arial"/>
                <w:sz w:val="22"/>
                <w:szCs w:val="22"/>
              </w:rPr>
              <w:t xml:space="preserve">Registration </w:t>
            </w:r>
          </w:p>
        </w:tc>
        <w:tc>
          <w:tcPr>
            <w:tcW w:w="1868" w:type="dxa"/>
          </w:tcPr>
          <w:p w14:paraId="1407BEA9" w14:textId="717D466C" w:rsidR="00D70473" w:rsidRPr="004046BA" w:rsidRDefault="004549BC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68" w:type="dxa"/>
          </w:tcPr>
          <w:p w14:paraId="082A1BB6" w14:textId="4B1CCB39" w:rsidR="00D70473" w:rsidRPr="004046BA" w:rsidRDefault="00221CF9" w:rsidP="007F7CFF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="00D70473" w:rsidRPr="004046BA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="00D70473" w:rsidRPr="004046BA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538" w:type="dxa"/>
          </w:tcPr>
          <w:p w14:paraId="5275BF14" w14:textId="50927403" w:rsidR="00D70473" w:rsidRPr="004046BA" w:rsidRDefault="00221CF9" w:rsidP="007F7CFF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="00D70473" w:rsidRPr="004046BA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="00D70473" w:rsidRPr="004046BA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D70473" w14:paraId="479F596C" w14:textId="77777777" w:rsidTr="00DC70E1">
        <w:trPr>
          <w:cantSplit/>
        </w:trPr>
        <w:tc>
          <w:tcPr>
            <w:tcW w:w="3055" w:type="dxa"/>
            <w:shd w:val="clear" w:color="auto" w:fill="8DCCD2"/>
          </w:tcPr>
          <w:p w14:paraId="610610D7" w14:textId="66640810" w:rsidR="00D70473" w:rsidRPr="004046BA" w:rsidRDefault="00C302FE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Kōrero </w:t>
            </w:r>
            <w:proofErr w:type="spellStart"/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>whakakapinga</w:t>
            </w:r>
            <w:proofErr w:type="spellEnd"/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D70473" w:rsidRPr="00C302FE">
              <w:rPr>
                <w:rFonts w:ascii="Arial" w:hAnsi="Arial" w:cs="Arial"/>
                <w:sz w:val="22"/>
                <w:szCs w:val="22"/>
              </w:rPr>
              <w:t>Replacement information</w:t>
            </w:r>
          </w:p>
        </w:tc>
        <w:tc>
          <w:tcPr>
            <w:tcW w:w="6574" w:type="dxa"/>
            <w:gridSpan w:val="3"/>
          </w:tcPr>
          <w:p w14:paraId="40C10310" w14:textId="4965B065" w:rsidR="00D70473" w:rsidRPr="004046BA" w:rsidRDefault="00514193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This skill standard replaced unit standards </w:t>
            </w:r>
            <w:r w:rsidR="00737B24">
              <w:rPr>
                <w:rFonts w:ascii="Arial" w:hAnsi="Arial" w:cs="Arial"/>
                <w:sz w:val="22"/>
                <w:szCs w:val="22"/>
              </w:rPr>
              <w:t xml:space="preserve">31875 and 31880. </w:t>
            </w:r>
          </w:p>
        </w:tc>
      </w:tr>
      <w:tr w:rsidR="00D70473" w14:paraId="71A8FC5D" w14:textId="77777777" w:rsidTr="00DC70E1">
        <w:trPr>
          <w:cantSplit/>
        </w:trPr>
        <w:tc>
          <w:tcPr>
            <w:tcW w:w="3055" w:type="dxa"/>
            <w:shd w:val="clear" w:color="auto" w:fill="8DCCD2"/>
          </w:tcPr>
          <w:p w14:paraId="4736718E" w14:textId="76C906CE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ā</w:t>
            </w:r>
            <w:proofErr w:type="spellEnd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arotake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Planned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6574" w:type="dxa"/>
            <w:gridSpan w:val="3"/>
          </w:tcPr>
          <w:p w14:paraId="0EAF2EF4" w14:textId="47760D1E" w:rsidR="00D70473" w:rsidRPr="004046BA" w:rsidRDefault="00FC3D6F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2030 </w:t>
            </w:r>
          </w:p>
        </w:tc>
      </w:tr>
    </w:tbl>
    <w:p w14:paraId="7AE65EB0" w14:textId="77777777" w:rsidR="00D70473" w:rsidRPr="00624205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1173E146" w14:textId="77777777" w:rsidR="00234770" w:rsidRPr="00C302FE" w:rsidRDefault="00C302FE" w:rsidP="00234770">
      <w:pPr>
        <w:spacing w:line="240" w:lineRule="auto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  <w:r w:rsidRPr="00C302FE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Please contact </w:t>
      </w:r>
      <w:r w:rsidR="00234770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Ringa Hora Services Workforce Development Council </w:t>
      </w:r>
      <w:r w:rsidR="00234770" w:rsidRPr="00C302FE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at </w:t>
      </w:r>
      <w:hyperlink r:id="rId21" w:history="1">
        <w:r w:rsidR="00234770" w:rsidRPr="00144DB2">
          <w:rPr>
            <w:rStyle w:val="Hyperlink"/>
            <w:rFonts w:ascii="Arial" w:eastAsiaTheme="minorHAnsi" w:hAnsi="Arial" w:cs="Arial"/>
            <w:kern w:val="0"/>
            <w:sz w:val="22"/>
            <w:szCs w:val="22"/>
            <w:lang w:eastAsia="en-US"/>
            <w14:ligatures w14:val="none"/>
            <w14:cntxtAlts w14:val="0"/>
          </w:rPr>
          <w:t>qualifications@ringahora.nz</w:t>
        </w:r>
      </w:hyperlink>
      <w:r w:rsidR="00234770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</w:t>
      </w:r>
      <w:r w:rsidR="00234770" w:rsidRPr="00C302FE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>to suggest changes to the content of this skill standard.</w:t>
      </w:r>
    </w:p>
    <w:p w14:paraId="2595FDF1" w14:textId="77777777" w:rsidR="00234770" w:rsidRPr="00C302FE" w:rsidRDefault="00234770" w:rsidP="00234770">
      <w:pPr>
        <w:spacing w:line="240" w:lineRule="auto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</w:p>
    <w:p w14:paraId="20E4A90A" w14:textId="063BD348" w:rsidR="0008628A" w:rsidRPr="00C302FE" w:rsidRDefault="0008628A" w:rsidP="00DC70E1">
      <w:pPr>
        <w:spacing w:line="240" w:lineRule="auto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</w:p>
    <w:sectPr w:rsidR="0008628A" w:rsidRPr="00C302FE" w:rsidSect="007066D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720" w:right="964" w:bottom="720" w:left="964" w:header="374" w:footer="37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Sandy Chan" w:date="2024-06-21T11:15:00Z" w:initials="SC">
    <w:p w14:paraId="202A672E" w14:textId="214DBDB8" w:rsidR="00D54300" w:rsidRDefault="00D54300" w:rsidP="00D54300">
      <w:pPr>
        <w:pStyle w:val="CommentText"/>
      </w:pPr>
      <w:r>
        <w:rPr>
          <w:rStyle w:val="CommentReference"/>
        </w:rPr>
        <w:annotationRef/>
      </w:r>
      <w:r>
        <w:t xml:space="preserve">Include specifications of assessments. Should be flexible to encompass classroom, online, work-based learning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02A672E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E145AB7" w16cex:dateUtc="2024-06-20T23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02A672E" w16cid:durableId="5E145AB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717B5" w14:textId="77777777" w:rsidR="00DA0569" w:rsidRDefault="00DA0569" w:rsidP="000E4D2B">
      <w:pPr>
        <w:spacing w:after="0" w:line="240" w:lineRule="auto"/>
      </w:pPr>
      <w:r>
        <w:separator/>
      </w:r>
    </w:p>
  </w:endnote>
  <w:endnote w:type="continuationSeparator" w:id="0">
    <w:p w14:paraId="2B17DB99" w14:textId="77777777" w:rsidR="00DA0569" w:rsidRDefault="00DA0569" w:rsidP="000E4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FC989" w14:textId="77777777" w:rsidR="0090660F" w:rsidRDefault="009066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3"/>
      <w:gridCol w:w="4924"/>
    </w:tblGrid>
    <w:tr w:rsidR="007066D6" w:rsidRPr="0096056F" w14:paraId="65462EC7" w14:textId="77777777" w:rsidTr="007066D6">
      <w:trPr>
        <w:trHeight w:val="300"/>
      </w:trPr>
      <w:tc>
        <w:tcPr>
          <w:tcW w:w="4923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614F6A40" w14:textId="7532DF37" w:rsidR="007066D6" w:rsidRDefault="007066D6" w:rsidP="007066D6">
          <w:pPr>
            <w:rPr>
              <w:bCs/>
            </w:rPr>
          </w:pPr>
        </w:p>
      </w:tc>
      <w:tc>
        <w:tcPr>
          <w:tcW w:w="4924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3EABF0EB" w14:textId="393F8157" w:rsidR="007066D6" w:rsidRPr="0096056F" w:rsidRDefault="007066D6" w:rsidP="007066D6">
          <w:pPr>
            <w:jc w:val="right"/>
            <w:rPr>
              <w:rFonts w:ascii="Arial" w:hAnsi="Arial" w:cs="Arial"/>
              <w:bCs/>
              <w:sz w:val="18"/>
              <w:szCs w:val="18"/>
            </w:rPr>
          </w:pP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SYMBOL 211 \f "Symbol"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bCs/>
              <w:sz w:val="18"/>
              <w:szCs w:val="18"/>
            </w:rPr>
            <w:t xml:space="preserve"> New Zealand Qualifications Authority 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date \@ "yyyy"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450E8B">
            <w:rPr>
              <w:rFonts w:ascii="Arial" w:hAnsi="Arial" w:cs="Arial"/>
              <w:bCs/>
              <w:noProof/>
              <w:sz w:val="18"/>
              <w:szCs w:val="18"/>
            </w:rPr>
            <w:t>2025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</w:tr>
  </w:tbl>
  <w:p w14:paraId="2F3B7DA8" w14:textId="77777777" w:rsidR="007066D6" w:rsidRDefault="007066D6" w:rsidP="007066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22DDD" w14:textId="77777777" w:rsidR="0090660F" w:rsidRDefault="009066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8BC59" w14:textId="77777777" w:rsidR="00DA0569" w:rsidRDefault="00DA0569" w:rsidP="000E4D2B">
      <w:pPr>
        <w:spacing w:after="0" w:line="240" w:lineRule="auto"/>
      </w:pPr>
      <w:r>
        <w:separator/>
      </w:r>
    </w:p>
  </w:footnote>
  <w:footnote w:type="continuationSeparator" w:id="0">
    <w:p w14:paraId="3E7C27E2" w14:textId="77777777" w:rsidR="00DA0569" w:rsidRDefault="00DA0569" w:rsidP="000E4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25EC0" w14:textId="480D0DCB" w:rsidR="0090660F" w:rsidRDefault="0090660F">
    <w:pPr>
      <w:pStyle w:val="Header"/>
    </w:pPr>
    <w:r>
      <w:rPr>
        <w:noProof/>
      </w:rPr>
      <w:pict w14:anchorId="35D85A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45391" o:spid="_x0000_s1026" type="#_x0000_t136" style="position:absolute;margin-left:0;margin-top:0;width:541.05pt;height:162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sultatio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65D34" w14:textId="4089E43E" w:rsidR="007066D6" w:rsidRDefault="0090660F">
    <w:pPr>
      <w:pStyle w:val="Header"/>
    </w:pPr>
    <w:r>
      <w:rPr>
        <w:noProof/>
      </w:rPr>
      <w:pict w14:anchorId="5F28EF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45392" o:spid="_x0000_s1027" type="#_x0000_t136" style="position:absolute;margin-left:0;margin-top:0;width:541.05pt;height:162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sultation"/>
        </v:shape>
      </w:pict>
    </w:r>
  </w:p>
  <w:tbl>
    <w:tblPr>
      <w:tblW w:w="0" w:type="auto"/>
      <w:tblLook w:val="01E0" w:firstRow="1" w:lastRow="1" w:firstColumn="1" w:lastColumn="1" w:noHBand="0" w:noVBand="0"/>
    </w:tblPr>
    <w:tblGrid>
      <w:gridCol w:w="4927"/>
      <w:gridCol w:w="4927"/>
    </w:tblGrid>
    <w:tr w:rsidR="007066D6" w:rsidRPr="0096056F" w14:paraId="122A179E" w14:textId="77777777" w:rsidTr="00330005">
      <w:tc>
        <w:tcPr>
          <w:tcW w:w="4927" w:type="dxa"/>
          <w:shd w:val="clear" w:color="auto" w:fill="auto"/>
        </w:tcPr>
        <w:p w14:paraId="03A244AC" w14:textId="32EF196F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>Skill standard</w:t>
          </w:r>
        </w:p>
      </w:tc>
      <w:tc>
        <w:tcPr>
          <w:tcW w:w="4927" w:type="dxa"/>
          <w:shd w:val="clear" w:color="auto" w:fill="auto"/>
        </w:tcPr>
        <w:p w14:paraId="0331377B" w14:textId="77777777" w:rsidR="007066D6" w:rsidRPr="0096056F" w:rsidRDefault="007066D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proofErr w:type="spellStart"/>
          <w:r w:rsidRPr="0096056F">
            <w:rPr>
              <w:rFonts w:ascii="Arial" w:hAnsi="Arial" w:cs="Arial"/>
              <w:sz w:val="18"/>
              <w:szCs w:val="18"/>
            </w:rPr>
            <w:t>nnnnn</w:t>
          </w:r>
          <w:proofErr w:type="spellEnd"/>
          <w:r w:rsidRPr="0096056F">
            <w:rPr>
              <w:rFonts w:ascii="Arial" w:hAnsi="Arial" w:cs="Arial"/>
              <w:sz w:val="18"/>
              <w:szCs w:val="18"/>
            </w:rPr>
            <w:t xml:space="preserve"> version </w:t>
          </w:r>
          <w:proofErr w:type="spellStart"/>
          <w:r w:rsidRPr="0096056F">
            <w:rPr>
              <w:rFonts w:ascii="Arial" w:hAnsi="Arial" w:cs="Arial"/>
              <w:sz w:val="18"/>
              <w:szCs w:val="18"/>
            </w:rPr>
            <w:t>nn</w:t>
          </w:r>
          <w:proofErr w:type="spellEnd"/>
        </w:p>
      </w:tc>
    </w:tr>
    <w:tr w:rsidR="007066D6" w:rsidRPr="0096056F" w14:paraId="1BF61ED8" w14:textId="77777777" w:rsidTr="00330005">
      <w:tc>
        <w:tcPr>
          <w:tcW w:w="4927" w:type="dxa"/>
          <w:shd w:val="clear" w:color="auto" w:fill="auto"/>
        </w:tcPr>
        <w:p w14:paraId="73D8C923" w14:textId="77777777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927" w:type="dxa"/>
          <w:shd w:val="clear" w:color="auto" w:fill="auto"/>
        </w:tcPr>
        <w:p w14:paraId="5EA93228" w14:textId="77777777" w:rsidR="007066D6" w:rsidRPr="0096056F" w:rsidRDefault="007066D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 xml:space="preserve">Page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sz w:val="18"/>
              <w:szCs w:val="18"/>
            </w:rPr>
            <w:t xml:space="preserve"> of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14:paraId="6A4F5C13" w14:textId="20F2D732" w:rsidR="00B01D44" w:rsidRDefault="00B01D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C084E" w14:textId="64E484DE" w:rsidR="0090660F" w:rsidRDefault="0090660F">
    <w:pPr>
      <w:pStyle w:val="Header"/>
    </w:pPr>
    <w:r>
      <w:rPr>
        <w:noProof/>
      </w:rPr>
      <w:pict w14:anchorId="412FE1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45390" o:spid="_x0000_s1025" type="#_x0000_t136" style="position:absolute;margin-left:0;margin-top:0;width:541.05pt;height:162.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sultatio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43C2"/>
    <w:multiLevelType w:val="hybridMultilevel"/>
    <w:tmpl w:val="6ED67E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308E"/>
    <w:multiLevelType w:val="hybridMultilevel"/>
    <w:tmpl w:val="F82422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86453"/>
    <w:multiLevelType w:val="hybridMultilevel"/>
    <w:tmpl w:val="0070150E"/>
    <w:lvl w:ilvl="0" w:tplc="F9BC4F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23AA9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5B407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43266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E086A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87AA7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12A93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9C0A9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C9A55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6255EE9"/>
    <w:multiLevelType w:val="hybridMultilevel"/>
    <w:tmpl w:val="D7F6A63C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6B38E8"/>
    <w:multiLevelType w:val="hybridMultilevel"/>
    <w:tmpl w:val="AF2815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61382"/>
    <w:multiLevelType w:val="hybridMultilevel"/>
    <w:tmpl w:val="1B30477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DC7099"/>
    <w:multiLevelType w:val="hybridMultilevel"/>
    <w:tmpl w:val="B914A9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76620F"/>
    <w:multiLevelType w:val="hybridMultilevel"/>
    <w:tmpl w:val="FFB20E2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9C759C"/>
    <w:multiLevelType w:val="hybridMultilevel"/>
    <w:tmpl w:val="7A6CF648"/>
    <w:lvl w:ilvl="0" w:tplc="EA541D8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17593C"/>
    <w:multiLevelType w:val="hybridMultilevel"/>
    <w:tmpl w:val="AF32BE4C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09839AB"/>
    <w:multiLevelType w:val="hybridMultilevel"/>
    <w:tmpl w:val="3F3C38E4"/>
    <w:lvl w:ilvl="0" w:tplc="E1E49B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2CCE3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116BC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5DCBF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E9441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21477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D1AB4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846DD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6100B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1" w15:restartNumberingAfterBreak="0">
    <w:nsid w:val="11581241"/>
    <w:multiLevelType w:val="hybridMultilevel"/>
    <w:tmpl w:val="12C0A944"/>
    <w:lvl w:ilvl="0" w:tplc="01B4B9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B2887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4C5C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B78D6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8D4B6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D5A4D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D5AA5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F2069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C0CA0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2" w15:restartNumberingAfterBreak="0">
    <w:nsid w:val="14791159"/>
    <w:multiLevelType w:val="hybridMultilevel"/>
    <w:tmpl w:val="4FFE30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3D1361"/>
    <w:multiLevelType w:val="hybridMultilevel"/>
    <w:tmpl w:val="1A4C2A22"/>
    <w:lvl w:ilvl="0" w:tplc="D31212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D67FC7"/>
    <w:multiLevelType w:val="hybridMultilevel"/>
    <w:tmpl w:val="6D9A41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4B29D3"/>
    <w:multiLevelType w:val="hybridMultilevel"/>
    <w:tmpl w:val="5080CC0C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05E7827"/>
    <w:multiLevelType w:val="hybridMultilevel"/>
    <w:tmpl w:val="CC92B79C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69261F6"/>
    <w:multiLevelType w:val="hybridMultilevel"/>
    <w:tmpl w:val="B106DA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2F1A34"/>
    <w:multiLevelType w:val="hybridMultilevel"/>
    <w:tmpl w:val="6CE2B3F4"/>
    <w:lvl w:ilvl="0" w:tplc="316080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364" w:hanging="360"/>
      </w:pPr>
    </w:lvl>
    <w:lvl w:ilvl="2" w:tplc="1409001B" w:tentative="1">
      <w:start w:val="1"/>
      <w:numFmt w:val="lowerRoman"/>
      <w:lvlText w:val="%3."/>
      <w:lvlJc w:val="right"/>
      <w:pPr>
        <w:ind w:left="2084" w:hanging="180"/>
      </w:pPr>
    </w:lvl>
    <w:lvl w:ilvl="3" w:tplc="1409000F" w:tentative="1">
      <w:start w:val="1"/>
      <w:numFmt w:val="decimal"/>
      <w:lvlText w:val="%4."/>
      <w:lvlJc w:val="left"/>
      <w:pPr>
        <w:ind w:left="2804" w:hanging="360"/>
      </w:pPr>
    </w:lvl>
    <w:lvl w:ilvl="4" w:tplc="14090019" w:tentative="1">
      <w:start w:val="1"/>
      <w:numFmt w:val="lowerLetter"/>
      <w:lvlText w:val="%5."/>
      <w:lvlJc w:val="left"/>
      <w:pPr>
        <w:ind w:left="3524" w:hanging="360"/>
      </w:pPr>
    </w:lvl>
    <w:lvl w:ilvl="5" w:tplc="1409001B" w:tentative="1">
      <w:start w:val="1"/>
      <w:numFmt w:val="lowerRoman"/>
      <w:lvlText w:val="%6."/>
      <w:lvlJc w:val="right"/>
      <w:pPr>
        <w:ind w:left="4244" w:hanging="180"/>
      </w:pPr>
    </w:lvl>
    <w:lvl w:ilvl="6" w:tplc="1409000F" w:tentative="1">
      <w:start w:val="1"/>
      <w:numFmt w:val="decimal"/>
      <w:lvlText w:val="%7."/>
      <w:lvlJc w:val="left"/>
      <w:pPr>
        <w:ind w:left="4964" w:hanging="360"/>
      </w:pPr>
    </w:lvl>
    <w:lvl w:ilvl="7" w:tplc="14090019" w:tentative="1">
      <w:start w:val="1"/>
      <w:numFmt w:val="lowerLetter"/>
      <w:lvlText w:val="%8."/>
      <w:lvlJc w:val="left"/>
      <w:pPr>
        <w:ind w:left="5684" w:hanging="360"/>
      </w:pPr>
    </w:lvl>
    <w:lvl w:ilvl="8" w:tplc="1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B550C1E"/>
    <w:multiLevelType w:val="hybridMultilevel"/>
    <w:tmpl w:val="38CAF14A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C36C66"/>
    <w:multiLevelType w:val="hybridMultilevel"/>
    <w:tmpl w:val="A528615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722E12"/>
    <w:multiLevelType w:val="hybridMultilevel"/>
    <w:tmpl w:val="3244BE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291DE4"/>
    <w:multiLevelType w:val="hybridMultilevel"/>
    <w:tmpl w:val="F69415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2D417B"/>
    <w:multiLevelType w:val="hybridMultilevel"/>
    <w:tmpl w:val="9AAE78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051CD3"/>
    <w:multiLevelType w:val="hybridMultilevel"/>
    <w:tmpl w:val="1AE4DF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1A3C54"/>
    <w:multiLevelType w:val="hybridMultilevel"/>
    <w:tmpl w:val="48BCBF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B33984"/>
    <w:multiLevelType w:val="hybridMultilevel"/>
    <w:tmpl w:val="5566BF98"/>
    <w:lvl w:ilvl="0" w:tplc="E4D212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BCC7C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2821F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F0C82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81022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7861E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5C0EB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0248E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0AECA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7" w15:restartNumberingAfterBreak="0">
    <w:nsid w:val="374D4377"/>
    <w:multiLevelType w:val="hybridMultilevel"/>
    <w:tmpl w:val="F90A78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F73ED9"/>
    <w:multiLevelType w:val="hybridMultilevel"/>
    <w:tmpl w:val="EE68CFE2"/>
    <w:lvl w:ilvl="0" w:tplc="055011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D43BAF"/>
    <w:multiLevelType w:val="hybridMultilevel"/>
    <w:tmpl w:val="345E7828"/>
    <w:lvl w:ilvl="0" w:tplc="45D096B6">
      <w:start w:val="1"/>
      <w:numFmt w:val="lowerLetter"/>
      <w:lvlText w:val="%1."/>
      <w:lvlJc w:val="left"/>
      <w:pPr>
        <w:ind w:left="720" w:hanging="360"/>
      </w:pPr>
      <w:rPr>
        <w:rFonts w:cs="Aria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B32754"/>
    <w:multiLevelType w:val="hybridMultilevel"/>
    <w:tmpl w:val="652CBB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C44B0B"/>
    <w:multiLevelType w:val="hybridMultilevel"/>
    <w:tmpl w:val="9E824D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E811F3"/>
    <w:multiLevelType w:val="hybridMultilevel"/>
    <w:tmpl w:val="76A4150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2154F52"/>
    <w:multiLevelType w:val="hybridMultilevel"/>
    <w:tmpl w:val="A6929928"/>
    <w:lvl w:ilvl="0" w:tplc="6316D19A">
      <w:start w:val="1"/>
      <w:numFmt w:val="lowerLetter"/>
      <w:lvlText w:val="%1."/>
      <w:lvlJc w:val="left"/>
      <w:pPr>
        <w:ind w:left="720" w:hanging="360"/>
      </w:pPr>
      <w:rPr>
        <w:rFonts w:cs="Aria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7762A5"/>
    <w:multiLevelType w:val="hybridMultilevel"/>
    <w:tmpl w:val="43043F80"/>
    <w:lvl w:ilvl="0" w:tplc="140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5" w15:restartNumberingAfterBreak="0">
    <w:nsid w:val="48E36533"/>
    <w:multiLevelType w:val="hybridMultilevel"/>
    <w:tmpl w:val="DA3CD4BE"/>
    <w:lvl w:ilvl="0" w:tplc="FD4040AE">
      <w:start w:val="5"/>
      <w:numFmt w:val="bullet"/>
      <w:lvlText w:val=""/>
      <w:lvlJc w:val="left"/>
      <w:pPr>
        <w:ind w:left="1492" w:hanging="360"/>
      </w:pPr>
      <w:rPr>
        <w:rFonts w:ascii="Symbol" w:eastAsia="Times New Roman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6" w15:restartNumberingAfterBreak="0">
    <w:nsid w:val="4A347988"/>
    <w:multiLevelType w:val="hybridMultilevel"/>
    <w:tmpl w:val="5A6EA0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7D2FB2"/>
    <w:multiLevelType w:val="hybridMultilevel"/>
    <w:tmpl w:val="09126316"/>
    <w:lvl w:ilvl="0" w:tplc="DB4212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3AE42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6E004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186FD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4E899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A96E3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D9EB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CC8F2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48E77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8" w15:restartNumberingAfterBreak="0">
    <w:nsid w:val="52A43147"/>
    <w:multiLevelType w:val="hybridMultilevel"/>
    <w:tmpl w:val="370422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DF04FD"/>
    <w:multiLevelType w:val="hybridMultilevel"/>
    <w:tmpl w:val="8E3894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641595"/>
    <w:multiLevelType w:val="hybridMultilevel"/>
    <w:tmpl w:val="F0CEBC8E"/>
    <w:lvl w:ilvl="0" w:tplc="D4881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093DF8"/>
    <w:multiLevelType w:val="hybridMultilevel"/>
    <w:tmpl w:val="99D64FCC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7954603"/>
    <w:multiLevelType w:val="hybridMultilevel"/>
    <w:tmpl w:val="268AF5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03633A"/>
    <w:multiLevelType w:val="hybridMultilevel"/>
    <w:tmpl w:val="EEDE503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414C3A"/>
    <w:multiLevelType w:val="hybridMultilevel"/>
    <w:tmpl w:val="2EB8BB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D473AEA"/>
    <w:multiLevelType w:val="hybridMultilevel"/>
    <w:tmpl w:val="A42A7906"/>
    <w:lvl w:ilvl="0" w:tplc="EA541D82">
      <w:numFmt w:val="bullet"/>
      <w:lvlText w:val=""/>
      <w:lvlJc w:val="left"/>
      <w:pPr>
        <w:ind w:left="644" w:hanging="360"/>
      </w:pPr>
      <w:rPr>
        <w:rFonts w:ascii="Symbol" w:eastAsia="Times New Roman" w:hAnsi="Symbol" w:cs="Calibri" w:hint="default"/>
        <w:sz w:val="2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A61498"/>
    <w:multiLevelType w:val="hybridMultilevel"/>
    <w:tmpl w:val="864A2582"/>
    <w:lvl w:ilvl="0" w:tplc="1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614978FC"/>
    <w:multiLevelType w:val="hybridMultilevel"/>
    <w:tmpl w:val="7D68789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B451DE"/>
    <w:multiLevelType w:val="hybridMultilevel"/>
    <w:tmpl w:val="0D68CD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2E660E9"/>
    <w:multiLevelType w:val="hybridMultilevel"/>
    <w:tmpl w:val="234ED1D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AE187B"/>
    <w:multiLevelType w:val="hybridMultilevel"/>
    <w:tmpl w:val="5080CC0C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D175FCB"/>
    <w:multiLevelType w:val="hybridMultilevel"/>
    <w:tmpl w:val="5900D4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525CB7"/>
    <w:multiLevelType w:val="hybridMultilevel"/>
    <w:tmpl w:val="345E7828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05B1CB0"/>
    <w:multiLevelType w:val="hybridMultilevel"/>
    <w:tmpl w:val="51EAF338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24E6CE8"/>
    <w:multiLevelType w:val="hybridMultilevel"/>
    <w:tmpl w:val="9686164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31C3859"/>
    <w:multiLevelType w:val="hybridMultilevel"/>
    <w:tmpl w:val="D4DCABBA"/>
    <w:lvl w:ilvl="0" w:tplc="316080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9F7605"/>
    <w:multiLevelType w:val="hybridMultilevel"/>
    <w:tmpl w:val="2110ED4A"/>
    <w:lvl w:ilvl="0" w:tplc="1409000F">
      <w:start w:val="1"/>
      <w:numFmt w:val="decimal"/>
      <w:lvlText w:val="%1."/>
      <w:lvlJc w:val="left"/>
      <w:pPr>
        <w:ind w:left="644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83E44FF"/>
    <w:multiLevelType w:val="hybridMultilevel"/>
    <w:tmpl w:val="ABE065C0"/>
    <w:lvl w:ilvl="0" w:tplc="1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7E512C"/>
    <w:multiLevelType w:val="hybridMultilevel"/>
    <w:tmpl w:val="716A9006"/>
    <w:lvl w:ilvl="0" w:tplc="AC26B2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01C92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BA84B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A22DD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CF448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5941E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1EE3E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F0683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310D9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9" w15:restartNumberingAfterBreak="0">
    <w:nsid w:val="7C047C69"/>
    <w:multiLevelType w:val="hybridMultilevel"/>
    <w:tmpl w:val="523E78E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153130">
    <w:abstractNumId w:val="59"/>
  </w:num>
  <w:num w:numId="2" w16cid:durableId="915044687">
    <w:abstractNumId w:val="49"/>
  </w:num>
  <w:num w:numId="3" w16cid:durableId="2057119288">
    <w:abstractNumId w:val="47"/>
  </w:num>
  <w:num w:numId="4" w16cid:durableId="1052073817">
    <w:abstractNumId w:val="56"/>
  </w:num>
  <w:num w:numId="5" w16cid:durableId="1425226583">
    <w:abstractNumId w:val="34"/>
  </w:num>
  <w:num w:numId="6" w16cid:durableId="1985312232">
    <w:abstractNumId w:val="42"/>
  </w:num>
  <w:num w:numId="7" w16cid:durableId="1341784238">
    <w:abstractNumId w:val="4"/>
  </w:num>
  <w:num w:numId="8" w16cid:durableId="1267155781">
    <w:abstractNumId w:val="35"/>
  </w:num>
  <w:num w:numId="9" w16cid:durableId="699747702">
    <w:abstractNumId w:val="8"/>
  </w:num>
  <w:num w:numId="10" w16cid:durableId="966857946">
    <w:abstractNumId w:val="45"/>
  </w:num>
  <w:num w:numId="11" w16cid:durableId="44067730">
    <w:abstractNumId w:val="18"/>
  </w:num>
  <w:num w:numId="12" w16cid:durableId="2131123601">
    <w:abstractNumId w:val="55"/>
  </w:num>
  <w:num w:numId="13" w16cid:durableId="1240865703">
    <w:abstractNumId w:val="28"/>
  </w:num>
  <w:num w:numId="14" w16cid:durableId="354120092">
    <w:abstractNumId w:val="25"/>
  </w:num>
  <w:num w:numId="15" w16cid:durableId="1452553513">
    <w:abstractNumId w:val="17"/>
  </w:num>
  <w:num w:numId="16" w16cid:durableId="236936658">
    <w:abstractNumId w:val="32"/>
  </w:num>
  <w:num w:numId="17" w16cid:durableId="893010537">
    <w:abstractNumId w:val="43"/>
  </w:num>
  <w:num w:numId="18" w16cid:durableId="897741747">
    <w:abstractNumId w:val="30"/>
  </w:num>
  <w:num w:numId="19" w16cid:durableId="4285149">
    <w:abstractNumId w:val="24"/>
  </w:num>
  <w:num w:numId="20" w16cid:durableId="671374650">
    <w:abstractNumId w:val="14"/>
  </w:num>
  <w:num w:numId="21" w16cid:durableId="1018316377">
    <w:abstractNumId w:val="54"/>
  </w:num>
  <w:num w:numId="22" w16cid:durableId="537737573">
    <w:abstractNumId w:val="16"/>
  </w:num>
  <w:num w:numId="23" w16cid:durableId="1324354682">
    <w:abstractNumId w:val="3"/>
  </w:num>
  <w:num w:numId="24" w16cid:durableId="1167206038">
    <w:abstractNumId w:val="20"/>
  </w:num>
  <w:num w:numId="25" w16cid:durableId="1496874151">
    <w:abstractNumId w:val="21"/>
  </w:num>
  <w:num w:numId="26" w16cid:durableId="281616417">
    <w:abstractNumId w:val="23"/>
  </w:num>
  <w:num w:numId="27" w16cid:durableId="1241670441">
    <w:abstractNumId w:val="40"/>
  </w:num>
  <w:num w:numId="28" w16cid:durableId="577712039">
    <w:abstractNumId w:val="33"/>
  </w:num>
  <w:num w:numId="29" w16cid:durableId="1669674177">
    <w:abstractNumId w:val="29"/>
  </w:num>
  <w:num w:numId="30" w16cid:durableId="974794058">
    <w:abstractNumId w:val="13"/>
  </w:num>
  <w:num w:numId="31" w16cid:durableId="347946128">
    <w:abstractNumId w:val="7"/>
  </w:num>
  <w:num w:numId="32" w16cid:durableId="472721128">
    <w:abstractNumId w:val="52"/>
  </w:num>
  <w:num w:numId="33" w16cid:durableId="727149661">
    <w:abstractNumId w:val="0"/>
  </w:num>
  <w:num w:numId="34" w16cid:durableId="381174593">
    <w:abstractNumId w:val="44"/>
  </w:num>
  <w:num w:numId="35" w16cid:durableId="939338842">
    <w:abstractNumId w:val="53"/>
  </w:num>
  <w:num w:numId="36" w16cid:durableId="12344548">
    <w:abstractNumId w:val="9"/>
  </w:num>
  <w:num w:numId="37" w16cid:durableId="829250700">
    <w:abstractNumId w:val="50"/>
  </w:num>
  <w:num w:numId="38" w16cid:durableId="1098521021">
    <w:abstractNumId w:val="15"/>
  </w:num>
  <w:num w:numId="39" w16cid:durableId="1086147032">
    <w:abstractNumId w:val="5"/>
  </w:num>
  <w:num w:numId="40" w16cid:durableId="398990129">
    <w:abstractNumId w:val="37"/>
  </w:num>
  <w:num w:numId="41" w16cid:durableId="1906724783">
    <w:abstractNumId w:val="26"/>
  </w:num>
  <w:num w:numId="42" w16cid:durableId="92745473">
    <w:abstractNumId w:val="10"/>
  </w:num>
  <w:num w:numId="43" w16cid:durableId="1952516151">
    <w:abstractNumId w:val="11"/>
  </w:num>
  <w:num w:numId="44" w16cid:durableId="258561260">
    <w:abstractNumId w:val="2"/>
  </w:num>
  <w:num w:numId="45" w16cid:durableId="1097793809">
    <w:abstractNumId w:val="58"/>
  </w:num>
  <w:num w:numId="46" w16cid:durableId="76756178">
    <w:abstractNumId w:val="6"/>
  </w:num>
  <w:num w:numId="47" w16cid:durableId="1456168966">
    <w:abstractNumId w:val="19"/>
  </w:num>
  <w:num w:numId="48" w16cid:durableId="1919365965">
    <w:abstractNumId w:val="41"/>
  </w:num>
  <w:num w:numId="49" w16cid:durableId="433863932">
    <w:abstractNumId w:val="57"/>
  </w:num>
  <w:num w:numId="50" w16cid:durableId="1728870283">
    <w:abstractNumId w:val="46"/>
  </w:num>
  <w:num w:numId="51" w16cid:durableId="111680702">
    <w:abstractNumId w:val="38"/>
  </w:num>
  <w:num w:numId="52" w16cid:durableId="121307949">
    <w:abstractNumId w:val="1"/>
  </w:num>
  <w:num w:numId="53" w16cid:durableId="1593853295">
    <w:abstractNumId w:val="51"/>
  </w:num>
  <w:num w:numId="54" w16cid:durableId="527066543">
    <w:abstractNumId w:val="36"/>
  </w:num>
  <w:num w:numId="55" w16cid:durableId="140536396">
    <w:abstractNumId w:val="31"/>
  </w:num>
  <w:num w:numId="56" w16cid:durableId="919829806">
    <w:abstractNumId w:val="22"/>
  </w:num>
  <w:num w:numId="57" w16cid:durableId="342049422">
    <w:abstractNumId w:val="12"/>
  </w:num>
  <w:num w:numId="58" w16cid:durableId="1789203221">
    <w:abstractNumId w:val="27"/>
  </w:num>
  <w:num w:numId="59" w16cid:durableId="1013873924">
    <w:abstractNumId w:val="48"/>
  </w:num>
  <w:num w:numId="60" w16cid:durableId="2040206172">
    <w:abstractNumId w:val="39"/>
  </w:num>
  <w:numIdMacAtCleanup w:val="5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andy Chan">
    <w15:presenceInfo w15:providerId="AD" w15:userId="S::Sandy.Chan@ringahora.nz::42f0edee-8d21-4979-873f-762996c5b4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5B"/>
    <w:rsid w:val="00000530"/>
    <w:rsid w:val="00002CE6"/>
    <w:rsid w:val="000068B9"/>
    <w:rsid w:val="00011D6D"/>
    <w:rsid w:val="00011DD1"/>
    <w:rsid w:val="00012710"/>
    <w:rsid w:val="00012F02"/>
    <w:rsid w:val="000231B5"/>
    <w:rsid w:val="00030C56"/>
    <w:rsid w:val="00033356"/>
    <w:rsid w:val="0003350D"/>
    <w:rsid w:val="000376FF"/>
    <w:rsid w:val="00044F83"/>
    <w:rsid w:val="00046FFC"/>
    <w:rsid w:val="00050158"/>
    <w:rsid w:val="00070812"/>
    <w:rsid w:val="00085BF7"/>
    <w:rsid w:val="0008628A"/>
    <w:rsid w:val="000904D1"/>
    <w:rsid w:val="000920E3"/>
    <w:rsid w:val="00092AD5"/>
    <w:rsid w:val="000941C7"/>
    <w:rsid w:val="000A01B4"/>
    <w:rsid w:val="000A5CBF"/>
    <w:rsid w:val="000A755F"/>
    <w:rsid w:val="000B0D0C"/>
    <w:rsid w:val="000C7321"/>
    <w:rsid w:val="000D1A7E"/>
    <w:rsid w:val="000D628B"/>
    <w:rsid w:val="000D64AD"/>
    <w:rsid w:val="000D7AF5"/>
    <w:rsid w:val="000E065C"/>
    <w:rsid w:val="000E4D2B"/>
    <w:rsid w:val="000E5A36"/>
    <w:rsid w:val="000E6402"/>
    <w:rsid w:val="000F30D8"/>
    <w:rsid w:val="00101F1B"/>
    <w:rsid w:val="00102389"/>
    <w:rsid w:val="00104FD5"/>
    <w:rsid w:val="001061EF"/>
    <w:rsid w:val="00110689"/>
    <w:rsid w:val="00112938"/>
    <w:rsid w:val="00126A67"/>
    <w:rsid w:val="001306A5"/>
    <w:rsid w:val="00133EE5"/>
    <w:rsid w:val="00137777"/>
    <w:rsid w:val="00143C2A"/>
    <w:rsid w:val="001516A8"/>
    <w:rsid w:val="0015191A"/>
    <w:rsid w:val="00156132"/>
    <w:rsid w:val="001571BE"/>
    <w:rsid w:val="00157954"/>
    <w:rsid w:val="00160821"/>
    <w:rsid w:val="00164211"/>
    <w:rsid w:val="001673DD"/>
    <w:rsid w:val="001709E9"/>
    <w:rsid w:val="00170D99"/>
    <w:rsid w:val="00171065"/>
    <w:rsid w:val="00180BE0"/>
    <w:rsid w:val="001A0DB1"/>
    <w:rsid w:val="001A0FBC"/>
    <w:rsid w:val="001A1A7D"/>
    <w:rsid w:val="001B0110"/>
    <w:rsid w:val="001B3C76"/>
    <w:rsid w:val="001B4873"/>
    <w:rsid w:val="001C0074"/>
    <w:rsid w:val="001C231A"/>
    <w:rsid w:val="001C2327"/>
    <w:rsid w:val="001C3B3E"/>
    <w:rsid w:val="001C547E"/>
    <w:rsid w:val="001D66E8"/>
    <w:rsid w:val="001E6C73"/>
    <w:rsid w:val="00205924"/>
    <w:rsid w:val="0020717C"/>
    <w:rsid w:val="002153A4"/>
    <w:rsid w:val="00217970"/>
    <w:rsid w:val="002205DA"/>
    <w:rsid w:val="00221CF9"/>
    <w:rsid w:val="00221E10"/>
    <w:rsid w:val="00222548"/>
    <w:rsid w:val="0022587B"/>
    <w:rsid w:val="00227EF9"/>
    <w:rsid w:val="00231619"/>
    <w:rsid w:val="00232403"/>
    <w:rsid w:val="00233581"/>
    <w:rsid w:val="00234770"/>
    <w:rsid w:val="00236BCC"/>
    <w:rsid w:val="002410A6"/>
    <w:rsid w:val="0024331A"/>
    <w:rsid w:val="00246866"/>
    <w:rsid w:val="00251FA3"/>
    <w:rsid w:val="00253685"/>
    <w:rsid w:val="0025519D"/>
    <w:rsid w:val="00255C11"/>
    <w:rsid w:val="00255F06"/>
    <w:rsid w:val="00256D66"/>
    <w:rsid w:val="00256F75"/>
    <w:rsid w:val="002570E9"/>
    <w:rsid w:val="002579E2"/>
    <w:rsid w:val="002636A4"/>
    <w:rsid w:val="0026513F"/>
    <w:rsid w:val="0027579E"/>
    <w:rsid w:val="00287A7C"/>
    <w:rsid w:val="002A70CA"/>
    <w:rsid w:val="002A755F"/>
    <w:rsid w:val="002A7E06"/>
    <w:rsid w:val="002B0568"/>
    <w:rsid w:val="002B5C4C"/>
    <w:rsid w:val="002B7B23"/>
    <w:rsid w:val="002C3D0F"/>
    <w:rsid w:val="002D240C"/>
    <w:rsid w:val="002D7EF4"/>
    <w:rsid w:val="002E0AB2"/>
    <w:rsid w:val="002E148E"/>
    <w:rsid w:val="002E2DC9"/>
    <w:rsid w:val="002E5BE6"/>
    <w:rsid w:val="002F4625"/>
    <w:rsid w:val="002F594C"/>
    <w:rsid w:val="00300AF7"/>
    <w:rsid w:val="0030162C"/>
    <w:rsid w:val="00303975"/>
    <w:rsid w:val="00303B4E"/>
    <w:rsid w:val="00305C51"/>
    <w:rsid w:val="0031043B"/>
    <w:rsid w:val="00312E54"/>
    <w:rsid w:val="00316436"/>
    <w:rsid w:val="00320B91"/>
    <w:rsid w:val="003332B9"/>
    <w:rsid w:val="00334F8B"/>
    <w:rsid w:val="00337D19"/>
    <w:rsid w:val="00340A13"/>
    <w:rsid w:val="00341B19"/>
    <w:rsid w:val="00342E93"/>
    <w:rsid w:val="0034342A"/>
    <w:rsid w:val="003474BD"/>
    <w:rsid w:val="00350C30"/>
    <w:rsid w:val="00350E37"/>
    <w:rsid w:val="0035310F"/>
    <w:rsid w:val="0035541A"/>
    <w:rsid w:val="003731B9"/>
    <w:rsid w:val="0037343F"/>
    <w:rsid w:val="0038035D"/>
    <w:rsid w:val="00396418"/>
    <w:rsid w:val="003A01B7"/>
    <w:rsid w:val="003A2C75"/>
    <w:rsid w:val="003A43D4"/>
    <w:rsid w:val="003B0B83"/>
    <w:rsid w:val="003B1564"/>
    <w:rsid w:val="003B2789"/>
    <w:rsid w:val="003B3694"/>
    <w:rsid w:val="003B76B7"/>
    <w:rsid w:val="003B7D18"/>
    <w:rsid w:val="003C09DD"/>
    <w:rsid w:val="003C20B4"/>
    <w:rsid w:val="003C4AF8"/>
    <w:rsid w:val="003C641A"/>
    <w:rsid w:val="003D241D"/>
    <w:rsid w:val="003D3225"/>
    <w:rsid w:val="003D4628"/>
    <w:rsid w:val="003E28BA"/>
    <w:rsid w:val="003E42B4"/>
    <w:rsid w:val="003F117B"/>
    <w:rsid w:val="004046BA"/>
    <w:rsid w:val="004152AD"/>
    <w:rsid w:val="0041699A"/>
    <w:rsid w:val="0042401C"/>
    <w:rsid w:val="00425202"/>
    <w:rsid w:val="00430D19"/>
    <w:rsid w:val="004358AA"/>
    <w:rsid w:val="004362A1"/>
    <w:rsid w:val="00436459"/>
    <w:rsid w:val="00441A93"/>
    <w:rsid w:val="00443169"/>
    <w:rsid w:val="00443797"/>
    <w:rsid w:val="00444B4E"/>
    <w:rsid w:val="004472EA"/>
    <w:rsid w:val="00450C3F"/>
    <w:rsid w:val="00450E8B"/>
    <w:rsid w:val="00450F85"/>
    <w:rsid w:val="00453343"/>
    <w:rsid w:val="004549BC"/>
    <w:rsid w:val="004609D1"/>
    <w:rsid w:val="004611F7"/>
    <w:rsid w:val="0046566B"/>
    <w:rsid w:val="00465E41"/>
    <w:rsid w:val="004739CD"/>
    <w:rsid w:val="00480EBE"/>
    <w:rsid w:val="00482C80"/>
    <w:rsid w:val="0048579C"/>
    <w:rsid w:val="00487326"/>
    <w:rsid w:val="004A5721"/>
    <w:rsid w:val="004B0C90"/>
    <w:rsid w:val="004B4414"/>
    <w:rsid w:val="004C10F7"/>
    <w:rsid w:val="004C3B66"/>
    <w:rsid w:val="004D6E14"/>
    <w:rsid w:val="004E4ACB"/>
    <w:rsid w:val="004E69A1"/>
    <w:rsid w:val="004F0122"/>
    <w:rsid w:val="004F4EB7"/>
    <w:rsid w:val="004F689C"/>
    <w:rsid w:val="0050278E"/>
    <w:rsid w:val="00504F78"/>
    <w:rsid w:val="00510409"/>
    <w:rsid w:val="005121CA"/>
    <w:rsid w:val="00514193"/>
    <w:rsid w:val="00522345"/>
    <w:rsid w:val="00522A75"/>
    <w:rsid w:val="00527CBD"/>
    <w:rsid w:val="005312E1"/>
    <w:rsid w:val="00533A6C"/>
    <w:rsid w:val="0053541A"/>
    <w:rsid w:val="00535FDB"/>
    <w:rsid w:val="0053752C"/>
    <w:rsid w:val="0054485C"/>
    <w:rsid w:val="005502B0"/>
    <w:rsid w:val="0055415D"/>
    <w:rsid w:val="00554D79"/>
    <w:rsid w:val="00565906"/>
    <w:rsid w:val="00565952"/>
    <w:rsid w:val="00570160"/>
    <w:rsid w:val="00577D2C"/>
    <w:rsid w:val="005805F7"/>
    <w:rsid w:val="00581EA9"/>
    <w:rsid w:val="00587D2F"/>
    <w:rsid w:val="00587ECF"/>
    <w:rsid w:val="00591B22"/>
    <w:rsid w:val="00596938"/>
    <w:rsid w:val="005B6244"/>
    <w:rsid w:val="005C24B8"/>
    <w:rsid w:val="005C32AC"/>
    <w:rsid w:val="005E1955"/>
    <w:rsid w:val="005E78F4"/>
    <w:rsid w:val="005F09F0"/>
    <w:rsid w:val="006001FF"/>
    <w:rsid w:val="00607FD5"/>
    <w:rsid w:val="00610626"/>
    <w:rsid w:val="00611A61"/>
    <w:rsid w:val="006221B9"/>
    <w:rsid w:val="00623D26"/>
    <w:rsid w:val="00624205"/>
    <w:rsid w:val="00630353"/>
    <w:rsid w:val="00637579"/>
    <w:rsid w:val="00643587"/>
    <w:rsid w:val="00663935"/>
    <w:rsid w:val="00664DAB"/>
    <w:rsid w:val="00667EF5"/>
    <w:rsid w:val="00671662"/>
    <w:rsid w:val="0067411A"/>
    <w:rsid w:val="00676A27"/>
    <w:rsid w:val="006775EA"/>
    <w:rsid w:val="0068149C"/>
    <w:rsid w:val="00683B96"/>
    <w:rsid w:val="006858E2"/>
    <w:rsid w:val="006904C4"/>
    <w:rsid w:val="006906D2"/>
    <w:rsid w:val="006A2859"/>
    <w:rsid w:val="006A4910"/>
    <w:rsid w:val="006A5691"/>
    <w:rsid w:val="006B05FC"/>
    <w:rsid w:val="006B0903"/>
    <w:rsid w:val="006B4570"/>
    <w:rsid w:val="006B702E"/>
    <w:rsid w:val="006C06E7"/>
    <w:rsid w:val="006C4473"/>
    <w:rsid w:val="006C4525"/>
    <w:rsid w:val="006C4B67"/>
    <w:rsid w:val="006C5D6C"/>
    <w:rsid w:val="006D27B8"/>
    <w:rsid w:val="006D3A19"/>
    <w:rsid w:val="006D5B56"/>
    <w:rsid w:val="006F0E2C"/>
    <w:rsid w:val="006F1206"/>
    <w:rsid w:val="006F37CF"/>
    <w:rsid w:val="006F7960"/>
    <w:rsid w:val="007066D6"/>
    <w:rsid w:val="00721CCA"/>
    <w:rsid w:val="00721D3C"/>
    <w:rsid w:val="007224B0"/>
    <w:rsid w:val="007237C0"/>
    <w:rsid w:val="00725FFD"/>
    <w:rsid w:val="00731529"/>
    <w:rsid w:val="00733DD7"/>
    <w:rsid w:val="007352E8"/>
    <w:rsid w:val="00737B24"/>
    <w:rsid w:val="0074058D"/>
    <w:rsid w:val="00740A64"/>
    <w:rsid w:val="00742373"/>
    <w:rsid w:val="00742982"/>
    <w:rsid w:val="00743153"/>
    <w:rsid w:val="0074371A"/>
    <w:rsid w:val="00745727"/>
    <w:rsid w:val="0074730B"/>
    <w:rsid w:val="0076458C"/>
    <w:rsid w:val="0077053D"/>
    <w:rsid w:val="00774093"/>
    <w:rsid w:val="007809EA"/>
    <w:rsid w:val="007949D6"/>
    <w:rsid w:val="007955DF"/>
    <w:rsid w:val="00795A66"/>
    <w:rsid w:val="007A01A7"/>
    <w:rsid w:val="007A4A26"/>
    <w:rsid w:val="007A4CE7"/>
    <w:rsid w:val="007B3701"/>
    <w:rsid w:val="007C305B"/>
    <w:rsid w:val="007D1851"/>
    <w:rsid w:val="007D1F85"/>
    <w:rsid w:val="007D4A73"/>
    <w:rsid w:val="007E19FF"/>
    <w:rsid w:val="007F061B"/>
    <w:rsid w:val="007F0B2B"/>
    <w:rsid w:val="007F10EE"/>
    <w:rsid w:val="007F6589"/>
    <w:rsid w:val="0080178F"/>
    <w:rsid w:val="0080200B"/>
    <w:rsid w:val="00804810"/>
    <w:rsid w:val="0080585F"/>
    <w:rsid w:val="00807460"/>
    <w:rsid w:val="0081464F"/>
    <w:rsid w:val="00815C95"/>
    <w:rsid w:val="00824441"/>
    <w:rsid w:val="008246BB"/>
    <w:rsid w:val="00831880"/>
    <w:rsid w:val="00834A67"/>
    <w:rsid w:val="0084301A"/>
    <w:rsid w:val="0085438E"/>
    <w:rsid w:val="008548FF"/>
    <w:rsid w:val="00856EFD"/>
    <w:rsid w:val="008622B2"/>
    <w:rsid w:val="0086612C"/>
    <w:rsid w:val="00872866"/>
    <w:rsid w:val="00874A8D"/>
    <w:rsid w:val="00880990"/>
    <w:rsid w:val="008874DE"/>
    <w:rsid w:val="00890F0D"/>
    <w:rsid w:val="00891F57"/>
    <w:rsid w:val="0089229E"/>
    <w:rsid w:val="00892A2A"/>
    <w:rsid w:val="00893076"/>
    <w:rsid w:val="008A0902"/>
    <w:rsid w:val="008A2C9C"/>
    <w:rsid w:val="008A4CC7"/>
    <w:rsid w:val="008A7D18"/>
    <w:rsid w:val="008B2AB0"/>
    <w:rsid w:val="008C1886"/>
    <w:rsid w:val="008D726D"/>
    <w:rsid w:val="008E49FF"/>
    <w:rsid w:val="008E4F86"/>
    <w:rsid w:val="008E5996"/>
    <w:rsid w:val="008F1891"/>
    <w:rsid w:val="00904D01"/>
    <w:rsid w:val="0090660F"/>
    <w:rsid w:val="00906956"/>
    <w:rsid w:val="009114F6"/>
    <w:rsid w:val="00915891"/>
    <w:rsid w:val="00920E36"/>
    <w:rsid w:val="00924316"/>
    <w:rsid w:val="00932F40"/>
    <w:rsid w:val="00935F3B"/>
    <w:rsid w:val="0093759E"/>
    <w:rsid w:val="0094090A"/>
    <w:rsid w:val="00944B88"/>
    <w:rsid w:val="009477E6"/>
    <w:rsid w:val="00950B2F"/>
    <w:rsid w:val="00950D41"/>
    <w:rsid w:val="00954895"/>
    <w:rsid w:val="0096056F"/>
    <w:rsid w:val="00962116"/>
    <w:rsid w:val="009655A0"/>
    <w:rsid w:val="00971AAB"/>
    <w:rsid w:val="00971CAC"/>
    <w:rsid w:val="00972AB9"/>
    <w:rsid w:val="00972D29"/>
    <w:rsid w:val="00972EBC"/>
    <w:rsid w:val="0097425C"/>
    <w:rsid w:val="009759B3"/>
    <w:rsid w:val="00987384"/>
    <w:rsid w:val="0099335A"/>
    <w:rsid w:val="00995EE7"/>
    <w:rsid w:val="009A7C7A"/>
    <w:rsid w:val="009C1310"/>
    <w:rsid w:val="009C27C0"/>
    <w:rsid w:val="009C34FD"/>
    <w:rsid w:val="009C4F9C"/>
    <w:rsid w:val="009C6979"/>
    <w:rsid w:val="009D2037"/>
    <w:rsid w:val="009D2E2C"/>
    <w:rsid w:val="009D5DDD"/>
    <w:rsid w:val="009D6D3F"/>
    <w:rsid w:val="009F0A3B"/>
    <w:rsid w:val="009F2220"/>
    <w:rsid w:val="009F2894"/>
    <w:rsid w:val="009F2920"/>
    <w:rsid w:val="00A00C03"/>
    <w:rsid w:val="00A135D5"/>
    <w:rsid w:val="00A16B94"/>
    <w:rsid w:val="00A2114B"/>
    <w:rsid w:val="00A2260E"/>
    <w:rsid w:val="00A234C3"/>
    <w:rsid w:val="00A23CDF"/>
    <w:rsid w:val="00A25A4D"/>
    <w:rsid w:val="00A3138C"/>
    <w:rsid w:val="00A31EFA"/>
    <w:rsid w:val="00A33A03"/>
    <w:rsid w:val="00A3798E"/>
    <w:rsid w:val="00A4123A"/>
    <w:rsid w:val="00A524A8"/>
    <w:rsid w:val="00A56E29"/>
    <w:rsid w:val="00A61483"/>
    <w:rsid w:val="00A62330"/>
    <w:rsid w:val="00A6587A"/>
    <w:rsid w:val="00A65988"/>
    <w:rsid w:val="00A6695B"/>
    <w:rsid w:val="00A7536B"/>
    <w:rsid w:val="00A75491"/>
    <w:rsid w:val="00A81D08"/>
    <w:rsid w:val="00A8667E"/>
    <w:rsid w:val="00A90DB9"/>
    <w:rsid w:val="00A9129E"/>
    <w:rsid w:val="00A91CD4"/>
    <w:rsid w:val="00A92935"/>
    <w:rsid w:val="00A95ED6"/>
    <w:rsid w:val="00AA07B2"/>
    <w:rsid w:val="00AA0C77"/>
    <w:rsid w:val="00AA27B8"/>
    <w:rsid w:val="00AA5AAD"/>
    <w:rsid w:val="00AA5FAF"/>
    <w:rsid w:val="00AA6D3C"/>
    <w:rsid w:val="00AA79CB"/>
    <w:rsid w:val="00AB166D"/>
    <w:rsid w:val="00AB226D"/>
    <w:rsid w:val="00AB6492"/>
    <w:rsid w:val="00AC4574"/>
    <w:rsid w:val="00AC672D"/>
    <w:rsid w:val="00AD2D81"/>
    <w:rsid w:val="00AE29B3"/>
    <w:rsid w:val="00AE39AA"/>
    <w:rsid w:val="00AE514B"/>
    <w:rsid w:val="00AE78A0"/>
    <w:rsid w:val="00AF5E43"/>
    <w:rsid w:val="00B00002"/>
    <w:rsid w:val="00B01D44"/>
    <w:rsid w:val="00B02208"/>
    <w:rsid w:val="00B077ED"/>
    <w:rsid w:val="00B121C8"/>
    <w:rsid w:val="00B16686"/>
    <w:rsid w:val="00B22872"/>
    <w:rsid w:val="00B331E4"/>
    <w:rsid w:val="00B353DC"/>
    <w:rsid w:val="00B4088D"/>
    <w:rsid w:val="00B40B00"/>
    <w:rsid w:val="00B43186"/>
    <w:rsid w:val="00B45168"/>
    <w:rsid w:val="00B4646F"/>
    <w:rsid w:val="00B50A46"/>
    <w:rsid w:val="00B53F3D"/>
    <w:rsid w:val="00B606E1"/>
    <w:rsid w:val="00B62B9F"/>
    <w:rsid w:val="00B65F0A"/>
    <w:rsid w:val="00B66734"/>
    <w:rsid w:val="00B7679F"/>
    <w:rsid w:val="00B778F8"/>
    <w:rsid w:val="00B77D7F"/>
    <w:rsid w:val="00B80B77"/>
    <w:rsid w:val="00B811C1"/>
    <w:rsid w:val="00B91BFE"/>
    <w:rsid w:val="00B92EA6"/>
    <w:rsid w:val="00B95260"/>
    <w:rsid w:val="00B971AE"/>
    <w:rsid w:val="00BA01C5"/>
    <w:rsid w:val="00BA6AED"/>
    <w:rsid w:val="00BB0A3B"/>
    <w:rsid w:val="00BB103E"/>
    <w:rsid w:val="00BB3927"/>
    <w:rsid w:val="00BB468E"/>
    <w:rsid w:val="00BB62F9"/>
    <w:rsid w:val="00BB6F34"/>
    <w:rsid w:val="00BB76B1"/>
    <w:rsid w:val="00BC672F"/>
    <w:rsid w:val="00BD051E"/>
    <w:rsid w:val="00BD3934"/>
    <w:rsid w:val="00BD5661"/>
    <w:rsid w:val="00BE0BE9"/>
    <w:rsid w:val="00BE2D6A"/>
    <w:rsid w:val="00BF088E"/>
    <w:rsid w:val="00BF60F0"/>
    <w:rsid w:val="00C0669C"/>
    <w:rsid w:val="00C11088"/>
    <w:rsid w:val="00C12446"/>
    <w:rsid w:val="00C2556C"/>
    <w:rsid w:val="00C302FE"/>
    <w:rsid w:val="00C306C6"/>
    <w:rsid w:val="00C339DE"/>
    <w:rsid w:val="00C344C8"/>
    <w:rsid w:val="00C447AA"/>
    <w:rsid w:val="00C46050"/>
    <w:rsid w:val="00C51CBF"/>
    <w:rsid w:val="00C60691"/>
    <w:rsid w:val="00C60F7A"/>
    <w:rsid w:val="00C626FF"/>
    <w:rsid w:val="00C634AF"/>
    <w:rsid w:val="00C6350F"/>
    <w:rsid w:val="00C66E7B"/>
    <w:rsid w:val="00C75959"/>
    <w:rsid w:val="00C837B2"/>
    <w:rsid w:val="00C840EC"/>
    <w:rsid w:val="00C929E9"/>
    <w:rsid w:val="00C92B9E"/>
    <w:rsid w:val="00C93898"/>
    <w:rsid w:val="00C94B8E"/>
    <w:rsid w:val="00C9722F"/>
    <w:rsid w:val="00CB16F1"/>
    <w:rsid w:val="00CB490C"/>
    <w:rsid w:val="00CB531A"/>
    <w:rsid w:val="00CC5554"/>
    <w:rsid w:val="00CD1012"/>
    <w:rsid w:val="00CD14D9"/>
    <w:rsid w:val="00CD7AC9"/>
    <w:rsid w:val="00CE0D1F"/>
    <w:rsid w:val="00CE1BDE"/>
    <w:rsid w:val="00CE3600"/>
    <w:rsid w:val="00D10AAB"/>
    <w:rsid w:val="00D10EEF"/>
    <w:rsid w:val="00D15FDE"/>
    <w:rsid w:val="00D20B3A"/>
    <w:rsid w:val="00D26450"/>
    <w:rsid w:val="00D27075"/>
    <w:rsid w:val="00D27855"/>
    <w:rsid w:val="00D33291"/>
    <w:rsid w:val="00D3380C"/>
    <w:rsid w:val="00D37D0C"/>
    <w:rsid w:val="00D41E24"/>
    <w:rsid w:val="00D452DE"/>
    <w:rsid w:val="00D52B96"/>
    <w:rsid w:val="00D54300"/>
    <w:rsid w:val="00D5759F"/>
    <w:rsid w:val="00D60562"/>
    <w:rsid w:val="00D70473"/>
    <w:rsid w:val="00D75F27"/>
    <w:rsid w:val="00D777AF"/>
    <w:rsid w:val="00D80261"/>
    <w:rsid w:val="00D8228F"/>
    <w:rsid w:val="00D847D9"/>
    <w:rsid w:val="00D92B86"/>
    <w:rsid w:val="00D9538E"/>
    <w:rsid w:val="00DA0170"/>
    <w:rsid w:val="00DA0569"/>
    <w:rsid w:val="00DA39E9"/>
    <w:rsid w:val="00DA3F29"/>
    <w:rsid w:val="00DA6FFE"/>
    <w:rsid w:val="00DB69D5"/>
    <w:rsid w:val="00DB739C"/>
    <w:rsid w:val="00DC12F6"/>
    <w:rsid w:val="00DC1830"/>
    <w:rsid w:val="00DC70E1"/>
    <w:rsid w:val="00DD25DC"/>
    <w:rsid w:val="00DE05EA"/>
    <w:rsid w:val="00DE73C7"/>
    <w:rsid w:val="00DF0881"/>
    <w:rsid w:val="00DF59BF"/>
    <w:rsid w:val="00E00365"/>
    <w:rsid w:val="00E029B2"/>
    <w:rsid w:val="00E04326"/>
    <w:rsid w:val="00E07C46"/>
    <w:rsid w:val="00E1127C"/>
    <w:rsid w:val="00E12FC9"/>
    <w:rsid w:val="00E13F50"/>
    <w:rsid w:val="00E17FC2"/>
    <w:rsid w:val="00E209B0"/>
    <w:rsid w:val="00E27A83"/>
    <w:rsid w:val="00E31360"/>
    <w:rsid w:val="00E32D32"/>
    <w:rsid w:val="00E34D40"/>
    <w:rsid w:val="00E35A72"/>
    <w:rsid w:val="00E3621B"/>
    <w:rsid w:val="00E412D7"/>
    <w:rsid w:val="00E445AC"/>
    <w:rsid w:val="00E46583"/>
    <w:rsid w:val="00E50971"/>
    <w:rsid w:val="00E54639"/>
    <w:rsid w:val="00E54923"/>
    <w:rsid w:val="00E564F6"/>
    <w:rsid w:val="00E6749F"/>
    <w:rsid w:val="00E73E62"/>
    <w:rsid w:val="00E74E68"/>
    <w:rsid w:val="00E84248"/>
    <w:rsid w:val="00E90628"/>
    <w:rsid w:val="00E924B7"/>
    <w:rsid w:val="00E969D2"/>
    <w:rsid w:val="00EA07E6"/>
    <w:rsid w:val="00EA6F11"/>
    <w:rsid w:val="00EB10C5"/>
    <w:rsid w:val="00EB57D6"/>
    <w:rsid w:val="00EB6AD8"/>
    <w:rsid w:val="00ED7C44"/>
    <w:rsid w:val="00F12923"/>
    <w:rsid w:val="00F16271"/>
    <w:rsid w:val="00F17EC7"/>
    <w:rsid w:val="00F36051"/>
    <w:rsid w:val="00F42A6C"/>
    <w:rsid w:val="00F43CA7"/>
    <w:rsid w:val="00F460B5"/>
    <w:rsid w:val="00F50A6B"/>
    <w:rsid w:val="00F55801"/>
    <w:rsid w:val="00F60677"/>
    <w:rsid w:val="00F6079C"/>
    <w:rsid w:val="00F62EAF"/>
    <w:rsid w:val="00F66119"/>
    <w:rsid w:val="00F71AA8"/>
    <w:rsid w:val="00F723DF"/>
    <w:rsid w:val="00F77122"/>
    <w:rsid w:val="00F77D18"/>
    <w:rsid w:val="00F841DC"/>
    <w:rsid w:val="00F845A3"/>
    <w:rsid w:val="00F875E5"/>
    <w:rsid w:val="00FC3425"/>
    <w:rsid w:val="00FC3D6F"/>
    <w:rsid w:val="00FC6691"/>
    <w:rsid w:val="00FC7966"/>
    <w:rsid w:val="00FD47FF"/>
    <w:rsid w:val="00FD483F"/>
    <w:rsid w:val="00FD7395"/>
    <w:rsid w:val="00FE4494"/>
    <w:rsid w:val="00FF2410"/>
    <w:rsid w:val="00FF3D9C"/>
    <w:rsid w:val="060481E4"/>
    <w:rsid w:val="06FBCEED"/>
    <w:rsid w:val="0A94D213"/>
    <w:rsid w:val="122C3EB9"/>
    <w:rsid w:val="16DD79A8"/>
    <w:rsid w:val="292C3604"/>
    <w:rsid w:val="35DC4068"/>
    <w:rsid w:val="3D4AEAE2"/>
    <w:rsid w:val="5029E64A"/>
    <w:rsid w:val="50645890"/>
    <w:rsid w:val="516AB16D"/>
    <w:rsid w:val="5BAFE9A0"/>
    <w:rsid w:val="5D325805"/>
    <w:rsid w:val="6100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CEE6A"/>
  <w15:chartTrackingRefBased/>
  <w15:docId w15:val="{7827F1B0-88C2-44FF-8D64-CB33EB00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95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C4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9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5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AA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A5AAD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AAD"/>
    <w:rPr>
      <w:rFonts w:ascii="Calibri" w:eastAsia="Times New Roman" w:hAnsi="Calibri" w:cs="Calibri"/>
      <w:b/>
      <w:bCs/>
      <w:color w:val="000000"/>
      <w:kern w:val="28"/>
      <w:sz w:val="20"/>
      <w:szCs w:val="20"/>
      <w:lang w:eastAsia="en-NZ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2B5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5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2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2B2"/>
    <w:rPr>
      <w:rFonts w:ascii="Segoe UI" w:eastAsia="Times New Roman" w:hAnsi="Segoe UI" w:cs="Segoe UI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Revision">
    <w:name w:val="Revision"/>
    <w:hidden/>
    <w:uiPriority w:val="99"/>
    <w:semiHidden/>
    <w:rsid w:val="00C2556C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customStyle="1" w:styleId="pf0">
    <w:name w:val="pf0"/>
    <w:basedOn w:val="Normal"/>
    <w:rsid w:val="001571B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yperlink" Target="https://www.fma.govt.nz/assets/Research/Understanding-Artificial-Intelligence-in-Financial-Services.pdf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mailto:qualifications@ringahora.nz" TargetMode="Externa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yperlink" Target="https://www.fma.govt.nz/assets/Information-sheets/Developing-cyber-resilience-for-financial-advice-providers.pdf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ma.govt.nz/assets/Reports/CustomerVulnerability-ourexpectationsforproviders.pdf" TargetMode="External"/><Relationship Id="rId20" Type="http://schemas.openxmlformats.org/officeDocument/2006/relationships/hyperlink" Target="http://www.fsf.org.nz" TargetMode="Externa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financialadvicecode.govt.nz/wp-content/uploads/2021/03/codeofprofessionalconduct-march2021.pdf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iso.or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f611d7-c539-42f4-ad81-5b242bcfce8e">
      <Terms xmlns="http://schemas.microsoft.com/office/infopath/2007/PartnerControls"/>
    </lcf76f155ced4ddcb4097134ff3c332f>
    <TaxCatchAll xmlns="ec761af5-23b3-453d-aa00-8620c42b1ab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CAAB0502B9D4A917459265F0FFCF0" ma:contentTypeVersion="19" ma:contentTypeDescription="Create a new document." ma:contentTypeScope="" ma:versionID="32df8f677e5dae7b817e867fb4237600">
  <xsd:schema xmlns:xsd="http://www.w3.org/2001/XMLSchema" xmlns:xs="http://www.w3.org/2001/XMLSchema" xmlns:p="http://schemas.microsoft.com/office/2006/metadata/properties" xmlns:ns2="76f611d7-c539-42f4-ad81-5b242bcfce8e" xmlns:ns3="c7c66f8a-fd0d-4da3-b6ce-0241484f0de0" xmlns:ns4="ec761af5-23b3-453d-aa00-8620c42b1ab2" targetNamespace="http://schemas.microsoft.com/office/2006/metadata/properties" ma:root="true" ma:fieldsID="5f69032242787c287b26e63a4402d075" ns2:_="" ns3:_="" ns4:_="">
    <xsd:import namespace="76f611d7-c539-42f4-ad81-5b242bcfce8e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611d7-c539-42f4-ad81-5b242bcfc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E7C94-2EA7-41ED-B821-0E23447DDB87}">
  <ds:schemaRefs>
    <ds:schemaRef ds:uri="http://schemas.microsoft.com/office/2006/metadata/properties"/>
    <ds:schemaRef ds:uri="http://schemas.microsoft.com/office/infopath/2007/PartnerControls"/>
    <ds:schemaRef ds:uri="76f611d7-c539-42f4-ad81-5b242bcfce8e"/>
    <ds:schemaRef ds:uri="ec761af5-23b3-453d-aa00-8620c42b1ab2"/>
  </ds:schemaRefs>
</ds:datastoreItem>
</file>

<file path=customXml/itemProps2.xml><?xml version="1.0" encoding="utf-8"?>
<ds:datastoreItem xmlns:ds="http://schemas.openxmlformats.org/officeDocument/2006/customXml" ds:itemID="{A3FA8C9B-B6EE-40B0-9BB3-24A93AC1D2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F0A0BD-AE85-409F-89E1-177EAC6B4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611d7-c539-42f4-ad81-5b242bcfce8e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663022-139A-4436-8714-888ADC10B5B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1054</Words>
  <Characters>6011</Characters>
  <Application>Microsoft Office Word</Application>
  <DocSecurity>0</DocSecurity>
  <Lines>50</Lines>
  <Paragraphs>14</Paragraphs>
  <ScaleCrop>false</ScaleCrop>
  <Company/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Wilson</dc:creator>
  <cp:keywords/>
  <dc:description/>
  <cp:lastModifiedBy>Sandy Chan</cp:lastModifiedBy>
  <cp:revision>5</cp:revision>
  <cp:lastPrinted>2023-05-01T02:03:00Z</cp:lastPrinted>
  <dcterms:created xsi:type="dcterms:W3CDTF">2025-01-22T00:39:00Z</dcterms:created>
  <dcterms:modified xsi:type="dcterms:W3CDTF">2025-01-22T00:43:00Z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0x010100C60CAAB0502B9D4A917459265F0FFCF0</vt:lpwstr>
  </property>
  <property fmtid="{D5CDD505-2E9C-101B-9397-08002B2CF9AE}" pid="3" name="MediaServiceImageTags">
    <vt:lpwstr/>
  </property>
</Properties>
</file>