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12D76BC8" w:rsidR="007066D6" w:rsidRDefault="009335FB" w:rsidP="007066D6">
            <w:pPr>
              <w:pStyle w:val="Heading1"/>
              <w:spacing w:line="240" w:lineRule="auto"/>
              <w:rPr>
                <w:rFonts w:ascii="Arial" w:hAnsi="Arial" w:cs="Arial"/>
                <w:b/>
                <w:bCs/>
                <w:color w:val="auto"/>
              </w:rPr>
            </w:pPr>
            <w:r>
              <w:rPr>
                <w:rFonts w:ascii="Arial" w:hAnsi="Arial" w:cs="Arial"/>
                <w:b/>
                <w:bCs/>
                <w:color w:val="auto"/>
              </w:rPr>
              <w:t>5</w:t>
            </w:r>
          </w:p>
        </w:tc>
        <w:tc>
          <w:tcPr>
            <w:tcW w:w="8060" w:type="dxa"/>
          </w:tcPr>
          <w:p w14:paraId="512FDC1E" w14:textId="048D5E7F" w:rsidR="007066D6" w:rsidRPr="004D6E14" w:rsidRDefault="00267316" w:rsidP="007066D6">
            <w:pPr>
              <w:pStyle w:val="Heading1"/>
              <w:spacing w:line="240" w:lineRule="auto"/>
              <w:ind w:right="178"/>
              <w:rPr>
                <w:rFonts w:ascii="Arial" w:hAnsi="Arial" w:cs="Arial"/>
                <w:b/>
                <w:bCs/>
                <w:color w:val="auto"/>
              </w:rPr>
            </w:pPr>
            <w:r>
              <w:rPr>
                <w:rFonts w:ascii="Arial" w:hAnsi="Arial" w:cs="Arial"/>
                <w:b/>
                <w:bCs/>
                <w:color w:val="auto"/>
              </w:rPr>
              <w:t xml:space="preserve">Apply </w:t>
            </w:r>
            <w:r w:rsidR="00B30F7C">
              <w:rPr>
                <w:rFonts w:ascii="Arial" w:hAnsi="Arial" w:cs="Arial"/>
                <w:b/>
                <w:bCs/>
                <w:color w:val="auto"/>
              </w:rPr>
              <w:t>knowledge</w:t>
            </w:r>
            <w:r>
              <w:rPr>
                <w:rFonts w:ascii="Arial" w:hAnsi="Arial" w:cs="Arial"/>
                <w:b/>
                <w:bCs/>
                <w:color w:val="auto"/>
              </w:rPr>
              <w:t xml:space="preserve"> of insurance p</w:t>
            </w:r>
            <w:r w:rsidR="00922981">
              <w:rPr>
                <w:rFonts w:ascii="Arial" w:hAnsi="Arial" w:cs="Arial"/>
                <w:b/>
                <w:bCs/>
                <w:color w:val="auto"/>
              </w:rPr>
              <w:t xml:space="preserve">olicy structure </w:t>
            </w:r>
            <w:r>
              <w:rPr>
                <w:rFonts w:ascii="Arial" w:hAnsi="Arial" w:cs="Arial"/>
                <w:b/>
                <w:bCs/>
                <w:color w:val="auto"/>
              </w:rPr>
              <w:t xml:space="preserve">to interpret policy coverage and </w:t>
            </w:r>
            <w:r w:rsidR="00B30F7C">
              <w:rPr>
                <w:rFonts w:ascii="Arial" w:hAnsi="Arial" w:cs="Arial"/>
                <w:b/>
                <w:bCs/>
                <w:color w:val="auto"/>
              </w:rPr>
              <w:t xml:space="preserve">policy response for clients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3B602B">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7BDD0AC2" w:rsidR="004D6E14" w:rsidRPr="00676A27" w:rsidRDefault="009335FB" w:rsidP="00DC70E1">
            <w:pPr>
              <w:spacing w:line="240" w:lineRule="auto"/>
              <w:rPr>
                <w:rFonts w:ascii="Arial" w:hAnsi="Arial" w:cs="Arial"/>
                <w:sz w:val="22"/>
                <w:szCs w:val="22"/>
              </w:rPr>
            </w:pPr>
            <w:r>
              <w:rPr>
                <w:rFonts w:ascii="Arial" w:hAnsi="Arial" w:cs="Arial"/>
                <w:sz w:val="22"/>
                <w:szCs w:val="22"/>
              </w:rPr>
              <w:t>5</w:t>
            </w:r>
          </w:p>
        </w:tc>
      </w:tr>
      <w:tr w:rsidR="003B7D18" w:rsidRPr="004D6E14" w14:paraId="319AEFDB" w14:textId="77777777" w:rsidTr="003B602B">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374F4B61" w:rsidR="004D6E14" w:rsidRPr="00676A27" w:rsidRDefault="00AA5388" w:rsidP="00975598">
            <w:pPr>
              <w:spacing w:line="240" w:lineRule="auto"/>
              <w:rPr>
                <w:rFonts w:ascii="Arial" w:hAnsi="Arial" w:cs="Arial"/>
                <w:sz w:val="22"/>
                <w:szCs w:val="22"/>
              </w:rPr>
            </w:pPr>
            <w:r>
              <w:rPr>
                <w:rFonts w:ascii="Arial" w:hAnsi="Arial" w:cs="Arial"/>
                <w:sz w:val="22"/>
                <w:szCs w:val="22"/>
              </w:rPr>
              <w:t>5</w:t>
            </w:r>
          </w:p>
        </w:tc>
      </w:tr>
      <w:tr w:rsidR="003B7D18" w:rsidRPr="004D6E14" w14:paraId="49BD60D9" w14:textId="77777777" w:rsidTr="003B602B">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01D7658D" w14:textId="6A1A64EC" w:rsidR="003D3B6F" w:rsidRDefault="003D3B6F" w:rsidP="003D3B6F">
            <w:pPr>
              <w:spacing w:line="240" w:lineRule="auto"/>
              <w:rPr>
                <w:rFonts w:ascii="Arial" w:hAnsi="Arial" w:cs="Arial"/>
                <w:sz w:val="22"/>
                <w:szCs w:val="22"/>
              </w:rPr>
            </w:pPr>
            <w:r>
              <w:rPr>
                <w:rFonts w:ascii="Arial" w:hAnsi="Arial" w:cs="Arial"/>
                <w:sz w:val="22"/>
                <w:szCs w:val="22"/>
              </w:rPr>
              <w:t xml:space="preserve">The purpose of this skill standard is for people who want to work as a financial adviser in the provision of </w:t>
            </w:r>
            <w:r w:rsidR="00512A07">
              <w:rPr>
                <w:rFonts w:ascii="Arial" w:hAnsi="Arial" w:cs="Arial"/>
                <w:sz w:val="22"/>
                <w:szCs w:val="22"/>
              </w:rPr>
              <w:t>g</w:t>
            </w:r>
            <w:r>
              <w:rPr>
                <w:rFonts w:ascii="Arial" w:hAnsi="Arial" w:cs="Arial"/>
                <w:sz w:val="22"/>
                <w:szCs w:val="22"/>
              </w:rPr>
              <w:t xml:space="preserve">eneral </w:t>
            </w:r>
            <w:r w:rsidR="00512A07">
              <w:rPr>
                <w:rFonts w:ascii="Arial" w:hAnsi="Arial" w:cs="Arial"/>
                <w:sz w:val="22"/>
                <w:szCs w:val="22"/>
              </w:rPr>
              <w:t>i</w:t>
            </w:r>
            <w:r>
              <w:rPr>
                <w:rFonts w:ascii="Arial" w:hAnsi="Arial" w:cs="Arial"/>
                <w:sz w:val="22"/>
                <w:szCs w:val="22"/>
              </w:rPr>
              <w:t>nsurance advice</w:t>
            </w:r>
            <w:r w:rsidR="00E3117E">
              <w:rPr>
                <w:rFonts w:ascii="Arial" w:hAnsi="Arial" w:cs="Arial"/>
                <w:sz w:val="22"/>
                <w:szCs w:val="22"/>
              </w:rPr>
              <w:t xml:space="preserve"> services</w:t>
            </w:r>
            <w:r>
              <w:rPr>
                <w:rFonts w:ascii="Arial" w:hAnsi="Arial" w:cs="Arial"/>
                <w:sz w:val="22"/>
                <w:szCs w:val="22"/>
              </w:rPr>
              <w:t xml:space="preserve">. </w:t>
            </w:r>
          </w:p>
          <w:p w14:paraId="3F5F755D" w14:textId="21A40378" w:rsidR="003D3B6F" w:rsidRDefault="003D3B6F" w:rsidP="003D3B6F">
            <w:pPr>
              <w:spacing w:line="240" w:lineRule="auto"/>
              <w:rPr>
                <w:rFonts w:ascii="Arial" w:hAnsi="Arial" w:cs="Arial"/>
                <w:sz w:val="22"/>
                <w:szCs w:val="22"/>
              </w:rPr>
            </w:pPr>
            <w:r>
              <w:rPr>
                <w:rFonts w:ascii="Arial" w:hAnsi="Arial" w:cs="Arial"/>
                <w:sz w:val="22"/>
                <w:szCs w:val="22"/>
              </w:rPr>
              <w:t xml:space="preserve">This skill standard will provide learners with the knowledge and skills to </w:t>
            </w:r>
            <w:r w:rsidR="00A26F92">
              <w:rPr>
                <w:rFonts w:ascii="Arial" w:hAnsi="Arial" w:cs="Arial"/>
                <w:sz w:val="22"/>
                <w:szCs w:val="22"/>
              </w:rPr>
              <w:t xml:space="preserve">apply knowledge of insurance policy structure to interpret policy </w:t>
            </w:r>
            <w:r w:rsidR="006C2AC8">
              <w:rPr>
                <w:rFonts w:ascii="Arial" w:hAnsi="Arial" w:cs="Arial"/>
                <w:sz w:val="22"/>
                <w:szCs w:val="22"/>
              </w:rPr>
              <w:t xml:space="preserve">and policy response for clients. </w:t>
            </w:r>
          </w:p>
          <w:p w14:paraId="326E3A3F" w14:textId="12505874" w:rsidR="00B077ED" w:rsidRPr="00676A27" w:rsidRDefault="003D3B6F" w:rsidP="003D3B6F">
            <w:pPr>
              <w:spacing w:line="240" w:lineRule="auto"/>
              <w:rPr>
                <w:rFonts w:ascii="Arial" w:hAnsi="Arial" w:cs="Arial"/>
                <w:sz w:val="22"/>
                <w:szCs w:val="22"/>
              </w:rPr>
            </w:pPr>
            <w:r>
              <w:rPr>
                <w:rFonts w:ascii="Arial" w:hAnsi="Arial" w:cs="Arial"/>
                <w:sz w:val="22"/>
                <w:szCs w:val="22"/>
              </w:rPr>
              <w:t xml:space="preserve">This skill standard has been developed primarily for the assessment within programmes leading to the New Zealand Certificate in Financial Services (Level 5) with strand in General Insurance.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8F4BBE" w14:paraId="3D9920CC" w14:textId="77777777" w:rsidTr="00AE5600">
        <w:trPr>
          <w:cantSplit/>
          <w:trHeight w:val="659"/>
          <w:tblHeader/>
        </w:trPr>
        <w:tc>
          <w:tcPr>
            <w:tcW w:w="4627" w:type="dxa"/>
            <w:vMerge w:val="restart"/>
          </w:tcPr>
          <w:p w14:paraId="2E6B7BC3" w14:textId="2C25D8A7" w:rsidR="008F4BBE" w:rsidRPr="00114F70" w:rsidRDefault="008F4BBE" w:rsidP="00C66F73">
            <w:pPr>
              <w:spacing w:line="240" w:lineRule="auto"/>
              <w:ind w:left="175" w:hanging="175"/>
              <w:rPr>
                <w:rFonts w:ascii="Arial" w:hAnsi="Arial" w:cs="Arial"/>
                <w:sz w:val="22"/>
                <w:szCs w:val="22"/>
              </w:rPr>
            </w:pPr>
            <w:r>
              <w:rPr>
                <w:rFonts w:ascii="Arial" w:hAnsi="Arial" w:cs="Arial"/>
                <w:sz w:val="22"/>
                <w:szCs w:val="22"/>
              </w:rPr>
              <w:t>1. Apply</w:t>
            </w:r>
            <w:r w:rsidRPr="00114F70">
              <w:rPr>
                <w:rFonts w:ascii="Arial" w:hAnsi="Arial" w:cs="Arial"/>
                <w:sz w:val="22"/>
                <w:szCs w:val="22"/>
              </w:rPr>
              <w:t xml:space="preserve"> knowledge of insurance policy structure to interpret policy coverage</w:t>
            </w:r>
            <w:r>
              <w:rPr>
                <w:rFonts w:ascii="Arial" w:hAnsi="Arial" w:cs="Arial"/>
                <w:sz w:val="22"/>
                <w:szCs w:val="22"/>
              </w:rPr>
              <w:t xml:space="preserve"> and policy response for clients. </w:t>
            </w:r>
          </w:p>
          <w:p w14:paraId="69F7F8F9" w14:textId="6C77C486" w:rsidR="008F4BBE" w:rsidRPr="00114F70" w:rsidRDefault="008F4BBE" w:rsidP="00114F70">
            <w:pPr>
              <w:spacing w:line="240" w:lineRule="auto"/>
              <w:rPr>
                <w:rFonts w:ascii="Arial" w:hAnsi="Arial" w:cs="Arial"/>
                <w:sz w:val="22"/>
                <w:szCs w:val="22"/>
              </w:rPr>
            </w:pPr>
            <w:r>
              <w:rPr>
                <w:rFonts w:ascii="Arial" w:hAnsi="Arial" w:cs="Arial"/>
                <w:sz w:val="22"/>
                <w:szCs w:val="22"/>
              </w:rPr>
              <w:t xml:space="preserve"> </w:t>
            </w:r>
          </w:p>
        </w:tc>
        <w:tc>
          <w:tcPr>
            <w:tcW w:w="5341" w:type="dxa"/>
            <w:tcBorders>
              <w:top w:val="single" w:sz="4" w:space="0" w:color="auto"/>
            </w:tcBorders>
          </w:tcPr>
          <w:p w14:paraId="69174AB0" w14:textId="1909B20E" w:rsidR="008F4BBE" w:rsidRPr="00444B4E" w:rsidRDefault="008F4BBE"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Explain how a policy operates and the hierarchy of the policy sections. </w:t>
            </w:r>
          </w:p>
        </w:tc>
      </w:tr>
      <w:tr w:rsidR="008F4BBE" w14:paraId="4F29B907" w14:textId="77777777" w:rsidTr="00AE5600">
        <w:trPr>
          <w:cantSplit/>
          <w:trHeight w:val="276"/>
          <w:tblHeader/>
        </w:trPr>
        <w:tc>
          <w:tcPr>
            <w:tcW w:w="4627" w:type="dxa"/>
            <w:vMerge/>
          </w:tcPr>
          <w:p w14:paraId="44F96AE3" w14:textId="059ACCB4" w:rsidR="008F4BBE" w:rsidRPr="00114F70" w:rsidRDefault="008F4BBE" w:rsidP="00114F70">
            <w:pPr>
              <w:spacing w:line="240" w:lineRule="auto"/>
              <w:rPr>
                <w:rFonts w:ascii="Arial" w:hAnsi="Arial" w:cs="Arial"/>
                <w:sz w:val="22"/>
                <w:szCs w:val="22"/>
              </w:rPr>
            </w:pPr>
          </w:p>
        </w:tc>
        <w:tc>
          <w:tcPr>
            <w:tcW w:w="5341" w:type="dxa"/>
            <w:tcBorders>
              <w:top w:val="single" w:sz="4" w:space="0" w:color="auto"/>
              <w:bottom w:val="single" w:sz="4" w:space="0" w:color="auto"/>
            </w:tcBorders>
          </w:tcPr>
          <w:p w14:paraId="2F8652F8" w14:textId="7BA5B478" w:rsidR="008F4BBE" w:rsidRPr="008F4BBE" w:rsidRDefault="008F4BBE" w:rsidP="008F4BBE">
            <w:pPr>
              <w:spacing w:line="240" w:lineRule="auto"/>
              <w:ind w:left="361" w:hanging="361"/>
              <w:rPr>
                <w:rFonts w:ascii="Arial" w:hAnsi="Arial" w:cs="Arial"/>
                <w:sz w:val="22"/>
                <w:szCs w:val="22"/>
              </w:rPr>
            </w:pPr>
            <w:r>
              <w:rPr>
                <w:rFonts w:ascii="Arial" w:hAnsi="Arial" w:cs="Arial"/>
                <w:sz w:val="22"/>
                <w:szCs w:val="22"/>
              </w:rPr>
              <w:t xml:space="preserve">b.   </w:t>
            </w:r>
            <w:r w:rsidRPr="008F4BBE">
              <w:rPr>
                <w:rFonts w:ascii="Arial" w:hAnsi="Arial" w:cs="Arial"/>
                <w:sz w:val="22"/>
                <w:szCs w:val="22"/>
              </w:rPr>
              <w:t xml:space="preserve">Determine if cover is provided </w:t>
            </w:r>
            <w:r w:rsidR="00D17876">
              <w:rPr>
                <w:rFonts w:ascii="Arial" w:hAnsi="Arial" w:cs="Arial"/>
                <w:sz w:val="22"/>
                <w:szCs w:val="22"/>
              </w:rPr>
              <w:t xml:space="preserve">for </w:t>
            </w:r>
            <w:r w:rsidR="009D7525">
              <w:rPr>
                <w:rFonts w:ascii="Arial" w:hAnsi="Arial" w:cs="Arial"/>
                <w:sz w:val="22"/>
                <w:szCs w:val="22"/>
              </w:rPr>
              <w:t xml:space="preserve">a loss scenario </w:t>
            </w:r>
            <w:r w:rsidRPr="008F4BBE">
              <w:rPr>
                <w:rFonts w:ascii="Arial" w:hAnsi="Arial" w:cs="Arial"/>
                <w:sz w:val="22"/>
                <w:szCs w:val="22"/>
              </w:rPr>
              <w:t>under the policy and explain why</w:t>
            </w:r>
            <w:r w:rsidR="00C66F73">
              <w:rPr>
                <w:rFonts w:ascii="Arial" w:hAnsi="Arial" w:cs="Arial"/>
                <w:sz w:val="22"/>
                <w:szCs w:val="22"/>
              </w:rPr>
              <w:t xml:space="preserve">. </w:t>
            </w:r>
          </w:p>
        </w:tc>
      </w:tr>
      <w:tr w:rsidR="008F4BBE" w14:paraId="62B290B2" w14:textId="77777777" w:rsidTr="00AE5600">
        <w:trPr>
          <w:cantSplit/>
          <w:trHeight w:val="275"/>
          <w:tblHeader/>
        </w:trPr>
        <w:tc>
          <w:tcPr>
            <w:tcW w:w="4627" w:type="dxa"/>
            <w:vMerge/>
            <w:tcBorders>
              <w:bottom w:val="single" w:sz="4" w:space="0" w:color="auto"/>
            </w:tcBorders>
          </w:tcPr>
          <w:p w14:paraId="0EAC1F95" w14:textId="77777777" w:rsidR="008F4BBE" w:rsidRPr="00222548" w:rsidRDefault="008F4BBE"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377D5570" w:rsidR="008F4BBE" w:rsidRPr="008F4BBE" w:rsidRDefault="008F4BBE" w:rsidP="008F4BBE">
            <w:pPr>
              <w:spacing w:line="240" w:lineRule="auto"/>
              <w:ind w:left="361" w:hanging="361"/>
              <w:rPr>
                <w:rFonts w:ascii="Arial" w:hAnsi="Arial" w:cs="Arial"/>
                <w:sz w:val="22"/>
                <w:szCs w:val="22"/>
              </w:rPr>
            </w:pPr>
            <w:r>
              <w:rPr>
                <w:rFonts w:ascii="Arial" w:hAnsi="Arial" w:cs="Arial"/>
                <w:sz w:val="22"/>
                <w:szCs w:val="22"/>
              </w:rPr>
              <w:t xml:space="preserve">c.   </w:t>
            </w:r>
            <w:r w:rsidRPr="008F4BBE">
              <w:rPr>
                <w:rFonts w:ascii="Arial" w:hAnsi="Arial" w:cs="Arial"/>
                <w:sz w:val="22"/>
                <w:szCs w:val="22"/>
              </w:rPr>
              <w:t xml:space="preserve">Apply knowledge of policy </w:t>
            </w:r>
            <w:r w:rsidR="003D6772">
              <w:rPr>
                <w:rFonts w:ascii="Arial" w:hAnsi="Arial" w:cs="Arial"/>
                <w:sz w:val="22"/>
                <w:szCs w:val="22"/>
              </w:rPr>
              <w:t xml:space="preserve">structure </w:t>
            </w:r>
            <w:r w:rsidRPr="008F4BBE">
              <w:rPr>
                <w:rFonts w:ascii="Arial" w:hAnsi="Arial" w:cs="Arial"/>
                <w:sz w:val="22"/>
                <w:szCs w:val="22"/>
              </w:rPr>
              <w:t>and explain the policy response to the client</w:t>
            </w:r>
            <w:r w:rsidR="00C66F73">
              <w:rPr>
                <w:rFonts w:ascii="Arial" w:hAnsi="Arial" w:cs="Arial"/>
                <w:sz w:val="22"/>
                <w:szCs w:val="22"/>
              </w:rPr>
              <w:t xml:space="preserve"> including next steps</w:t>
            </w:r>
            <w:r w:rsidR="0002407A">
              <w:rPr>
                <w:rFonts w:ascii="Arial" w:hAnsi="Arial" w:cs="Arial"/>
                <w:sz w:val="22"/>
                <w:szCs w:val="22"/>
              </w:rPr>
              <w:t xml:space="preserve"> in claim</w:t>
            </w:r>
            <w:r w:rsidR="00337054">
              <w:rPr>
                <w:rFonts w:ascii="Arial" w:hAnsi="Arial" w:cs="Arial"/>
                <w:sz w:val="22"/>
                <w:szCs w:val="22"/>
              </w:rPr>
              <w:t>s process</w:t>
            </w:r>
            <w:r w:rsidRPr="008F4BBE">
              <w:rPr>
                <w:rFonts w:ascii="Arial" w:hAnsi="Arial" w:cs="Arial"/>
                <w:sz w:val="22"/>
                <w:szCs w:val="22"/>
              </w:rPr>
              <w:t>.</w:t>
            </w:r>
            <w:r w:rsidR="00337054">
              <w:rPr>
                <w:rFonts w:ascii="Arial" w:hAnsi="Arial" w:cs="Arial"/>
                <w:sz w:val="22"/>
                <w:szCs w:val="22"/>
              </w:rPr>
              <w:t xml:space="preserve"> </w:t>
            </w:r>
            <w:r w:rsidR="0002407A">
              <w:rPr>
                <w:rFonts w:ascii="Arial" w:hAnsi="Arial" w:cs="Arial"/>
                <w:sz w:val="22"/>
                <w:szCs w:val="22"/>
              </w:rPr>
              <w:t xml:space="preserve"> </w:t>
            </w:r>
            <w:r w:rsidRPr="008F4BBE">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100B55C2" w14:textId="77777777" w:rsidR="00856339" w:rsidRDefault="00856339" w:rsidP="00856339">
      <w:pPr>
        <w:spacing w:line="240" w:lineRule="auto"/>
        <w:rPr>
          <w:rFonts w:ascii="Arial" w:hAnsi="Arial" w:cs="Arial"/>
          <w:sz w:val="22"/>
          <w:szCs w:val="22"/>
        </w:rPr>
      </w:pPr>
      <w:commentRangeStart w:id="0"/>
      <w:r w:rsidRPr="005B622A">
        <w:rPr>
          <w:rFonts w:ascii="Arial" w:hAnsi="Arial" w:cs="Arial"/>
          <w:sz w:val="22"/>
          <w:szCs w:val="22"/>
        </w:rPr>
        <w:t>Assessment should use real or realistic documentation where appropriate. Simulated examples are permitted.</w:t>
      </w:r>
      <w:r>
        <w:rPr>
          <w:rFonts w:ascii="Arial" w:hAnsi="Arial" w:cs="Arial"/>
          <w:sz w:val="22"/>
          <w:szCs w:val="22"/>
        </w:rPr>
        <w:t xml:space="preserve"> </w:t>
      </w:r>
      <w:commentRangeEnd w:id="0"/>
      <w:r>
        <w:rPr>
          <w:rStyle w:val="CommentReference"/>
        </w:rPr>
        <w:commentReference w:id="0"/>
      </w:r>
    </w:p>
    <w:p w14:paraId="2E2CF3D8" w14:textId="77777777" w:rsidR="00734E69" w:rsidRDefault="00734E69" w:rsidP="00734E69">
      <w:pPr>
        <w:spacing w:line="240" w:lineRule="auto"/>
        <w:rPr>
          <w:rFonts w:ascii="Arial" w:hAnsi="Arial" w:cs="Arial"/>
          <w:sz w:val="22"/>
          <w:szCs w:val="22"/>
        </w:rPr>
      </w:pPr>
      <w:r>
        <w:rPr>
          <w:rFonts w:ascii="Arial" w:hAnsi="Arial" w:cs="Arial"/>
          <w:sz w:val="22"/>
          <w:szCs w:val="22"/>
        </w:rPr>
        <w:t>L</w:t>
      </w:r>
      <w:r w:rsidRPr="0024408F">
        <w:rPr>
          <w:rFonts w:ascii="Arial" w:hAnsi="Arial" w:cs="Arial"/>
          <w:sz w:val="22"/>
          <w:szCs w:val="22"/>
        </w:rPr>
        <w:t>earners are not expected to use tools and systems that are only available to a licenced financial advice provider or having a licence to use.</w:t>
      </w:r>
    </w:p>
    <w:p w14:paraId="11398E2C" w14:textId="77777777" w:rsidR="00856339" w:rsidRPr="004C55EC" w:rsidRDefault="00856339" w:rsidP="00856339">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ny use of digital advice tools or artificial intelligence will need to be used in accordance with relevant organisational and industry codes of conduct and practice.</w:t>
      </w:r>
      <w:r>
        <w:rPr>
          <w:rFonts w:ascii="Arial" w:hAnsi="Arial" w:cs="Arial"/>
          <w:sz w:val="22"/>
          <w:szCs w:val="22"/>
        </w:rPr>
        <w:t xml:space="preserve"> </w:t>
      </w:r>
    </w:p>
    <w:p w14:paraId="47E6D3E5" w14:textId="77777777" w:rsidR="00856339" w:rsidRDefault="00856339" w:rsidP="00856339">
      <w:pPr>
        <w:spacing w:line="240" w:lineRule="auto"/>
        <w:rPr>
          <w:rFonts w:ascii="Arial" w:hAnsi="Arial" w:cs="Arial"/>
          <w:sz w:val="22"/>
          <w:szCs w:val="22"/>
        </w:rPr>
      </w:pPr>
      <w:r w:rsidRPr="00543BF9">
        <w:rPr>
          <w:rFonts w:ascii="Arial" w:hAnsi="Arial" w:cs="Arial"/>
          <w:sz w:val="22"/>
          <w:szCs w:val="22"/>
        </w:rPr>
        <w:t>All activities must comply with legislation, regulations, and best practice, including any guidance notes published by the agency responsible for the relevant enactment or code.</w:t>
      </w:r>
    </w:p>
    <w:p w14:paraId="6659E4C1" w14:textId="77777777" w:rsidR="009C5D3C" w:rsidRDefault="009C5D3C" w:rsidP="009C5D3C">
      <w:pPr>
        <w:spacing w:line="240" w:lineRule="auto"/>
        <w:rPr>
          <w:rFonts w:ascii="Arial" w:hAnsi="Arial" w:cs="Arial"/>
          <w:sz w:val="22"/>
          <w:szCs w:val="22"/>
        </w:rPr>
      </w:pPr>
      <w:r>
        <w:rPr>
          <w:rFonts w:ascii="Arial" w:hAnsi="Arial" w:cs="Arial"/>
          <w:i/>
          <w:iCs/>
          <w:sz w:val="22"/>
          <w:szCs w:val="22"/>
        </w:rPr>
        <w:t>C</w:t>
      </w:r>
      <w:r w:rsidRPr="004D1896">
        <w:rPr>
          <w:rFonts w:ascii="Arial" w:hAnsi="Arial" w:cs="Arial"/>
          <w:i/>
          <w:iCs/>
          <w:sz w:val="22"/>
          <w:szCs w:val="22"/>
        </w:rPr>
        <w:t>lient</w:t>
      </w:r>
      <w:r>
        <w:rPr>
          <w:rFonts w:ascii="Arial" w:hAnsi="Arial" w:cs="Arial"/>
          <w:sz w:val="22"/>
          <w:szCs w:val="22"/>
        </w:rPr>
        <w:t xml:space="preserve"> also includes </w:t>
      </w:r>
      <w:commentRangeStart w:id="1"/>
      <w:r>
        <w:rPr>
          <w:rFonts w:ascii="Arial" w:hAnsi="Arial" w:cs="Arial"/>
          <w:sz w:val="22"/>
          <w:szCs w:val="22"/>
        </w:rPr>
        <w:t>potential clients</w:t>
      </w:r>
      <w:commentRangeEnd w:id="1"/>
      <w:r>
        <w:rPr>
          <w:rStyle w:val="CommentReference"/>
        </w:rPr>
        <w:commentReference w:id="1"/>
      </w:r>
      <w:r>
        <w:rPr>
          <w:rFonts w:ascii="Arial" w:hAnsi="Arial" w:cs="Arial"/>
          <w:sz w:val="22"/>
          <w:szCs w:val="22"/>
        </w:rPr>
        <w:t xml:space="preserve">. Clients </w:t>
      </w:r>
      <w:commentRangeStart w:id="2"/>
      <w:r>
        <w:rPr>
          <w:rFonts w:ascii="Arial" w:hAnsi="Arial" w:cs="Arial"/>
          <w:sz w:val="22"/>
          <w:szCs w:val="22"/>
        </w:rPr>
        <w:t xml:space="preserve">include Trust, business, individual, family. </w:t>
      </w:r>
      <w:commentRangeEnd w:id="2"/>
      <w:r>
        <w:rPr>
          <w:rStyle w:val="CommentReference"/>
        </w:rPr>
        <w:commentReference w:id="2"/>
      </w:r>
    </w:p>
    <w:p w14:paraId="21A99AEE" w14:textId="35998700" w:rsidR="009C5D3C" w:rsidRPr="00836D34" w:rsidRDefault="009C5D3C" w:rsidP="009C5D3C">
      <w:pPr>
        <w:spacing w:line="240" w:lineRule="auto"/>
        <w:rPr>
          <w:rFonts w:ascii="Arial" w:hAnsi="Arial" w:cs="Arial"/>
          <w:sz w:val="22"/>
          <w:szCs w:val="22"/>
        </w:rPr>
      </w:pPr>
      <w:r w:rsidRPr="00836D34">
        <w:rPr>
          <w:rFonts w:ascii="Arial" w:hAnsi="Arial" w:cs="Arial"/>
          <w:i/>
          <w:iCs/>
          <w:sz w:val="22"/>
          <w:szCs w:val="22"/>
        </w:rPr>
        <w:t xml:space="preserve">Client </w:t>
      </w:r>
      <w:r w:rsidRPr="00836D34">
        <w:rPr>
          <w:rFonts w:ascii="Arial" w:hAnsi="Arial" w:cs="Arial"/>
          <w:sz w:val="22"/>
          <w:szCs w:val="22"/>
        </w:rPr>
        <w:t>is intentionally broad to capture all types and include, individuals, partnerships, businesses, families, companies, trusts, charities, organisations, body corporates, and associations as current examples</w:t>
      </w:r>
      <w:r>
        <w:rPr>
          <w:rFonts w:ascii="Arial" w:hAnsi="Arial" w:cs="Arial"/>
          <w:sz w:val="22"/>
          <w:szCs w:val="22"/>
        </w:rPr>
        <w:t xml:space="preserve">. </w:t>
      </w:r>
    </w:p>
    <w:p w14:paraId="7C35235D" w14:textId="18DF7CB2" w:rsidR="0036119B" w:rsidRPr="002205DA" w:rsidRDefault="00C54D52" w:rsidP="00DC70E1">
      <w:pPr>
        <w:spacing w:line="240" w:lineRule="auto"/>
        <w:rPr>
          <w:rFonts w:ascii="Arial" w:hAnsi="Arial" w:cs="Arial"/>
          <w:color w:val="000000" w:themeColor="text1"/>
          <w:sz w:val="22"/>
          <w:szCs w:val="22"/>
        </w:rPr>
      </w:pPr>
      <w:r>
        <w:rPr>
          <w:rFonts w:ascii="Arial" w:hAnsi="Arial" w:cs="Arial"/>
          <w:sz w:val="22"/>
          <w:szCs w:val="22"/>
        </w:rPr>
        <w:lastRenderedPageBreak/>
        <w:t>E</w:t>
      </w:r>
      <w:r w:rsidR="00AB0F1D" w:rsidRPr="00E362D4">
        <w:rPr>
          <w:rFonts w:ascii="Arial" w:hAnsi="Arial" w:cs="Arial"/>
          <w:sz w:val="22"/>
          <w:szCs w:val="22"/>
        </w:rPr>
        <w:t>vidence of three</w:t>
      </w:r>
      <w:r w:rsidR="00EF2575">
        <w:rPr>
          <w:rFonts w:ascii="Arial" w:hAnsi="Arial" w:cs="Arial"/>
          <w:sz w:val="22"/>
          <w:szCs w:val="22"/>
        </w:rPr>
        <w:t xml:space="preserve"> different</w:t>
      </w:r>
      <w:r w:rsidR="008833A6">
        <w:rPr>
          <w:rFonts w:ascii="Arial" w:hAnsi="Arial" w:cs="Arial"/>
          <w:sz w:val="22"/>
          <w:szCs w:val="22"/>
        </w:rPr>
        <w:t xml:space="preserve"> loss scenarios</w:t>
      </w:r>
      <w:r w:rsidR="00E2085A">
        <w:rPr>
          <w:rFonts w:ascii="Arial" w:hAnsi="Arial" w:cs="Arial"/>
          <w:sz w:val="22"/>
          <w:szCs w:val="22"/>
        </w:rPr>
        <w:t xml:space="preserve"> is</w:t>
      </w:r>
      <w:r w:rsidR="008833A6">
        <w:rPr>
          <w:rFonts w:ascii="Arial" w:hAnsi="Arial" w:cs="Arial"/>
          <w:sz w:val="22"/>
          <w:szCs w:val="22"/>
        </w:rPr>
        <w:t xml:space="preserve"> </w:t>
      </w:r>
      <w:r w:rsidR="00FB54DE">
        <w:rPr>
          <w:rFonts w:ascii="Arial" w:hAnsi="Arial" w:cs="Arial"/>
          <w:sz w:val="22"/>
          <w:szCs w:val="22"/>
        </w:rPr>
        <w:t>required. Loss scenarios</w:t>
      </w:r>
      <w:r w:rsidR="00EF2575">
        <w:rPr>
          <w:rFonts w:ascii="Arial" w:hAnsi="Arial" w:cs="Arial"/>
          <w:sz w:val="22"/>
          <w:szCs w:val="22"/>
        </w:rPr>
        <w:t xml:space="preserve"> must</w:t>
      </w:r>
      <w:r w:rsidR="00FB54DE">
        <w:rPr>
          <w:rFonts w:ascii="Arial" w:hAnsi="Arial" w:cs="Arial"/>
          <w:sz w:val="22"/>
          <w:szCs w:val="22"/>
        </w:rPr>
        <w:t xml:space="preserve"> include</w:t>
      </w:r>
      <w:r w:rsidR="00EF2575">
        <w:rPr>
          <w:rFonts w:ascii="Arial" w:hAnsi="Arial" w:cs="Arial"/>
          <w:sz w:val="22"/>
          <w:szCs w:val="22"/>
        </w:rPr>
        <w:t xml:space="preserve"> one of each policy response</w:t>
      </w:r>
      <w:r w:rsidR="00FB54DE">
        <w:rPr>
          <w:rFonts w:ascii="Arial" w:hAnsi="Arial" w:cs="Arial"/>
          <w:sz w:val="22"/>
          <w:szCs w:val="22"/>
        </w:rPr>
        <w:t xml:space="preserve"> </w:t>
      </w:r>
      <w:r w:rsidR="00EF2575">
        <w:rPr>
          <w:rFonts w:ascii="Arial" w:hAnsi="Arial" w:cs="Arial"/>
          <w:sz w:val="22"/>
          <w:szCs w:val="22"/>
        </w:rPr>
        <w:t xml:space="preserve">- </w:t>
      </w:r>
      <w:r w:rsidR="00FB54DE">
        <w:rPr>
          <w:rFonts w:ascii="Arial" w:hAnsi="Arial" w:cs="Arial"/>
          <w:sz w:val="22"/>
          <w:szCs w:val="22"/>
        </w:rPr>
        <w:t xml:space="preserve">Fully, Partially and Not Covered. </w:t>
      </w:r>
      <w:r w:rsidR="00AB0F1D" w:rsidRPr="00E362D4">
        <w:rPr>
          <w:rFonts w:ascii="Arial" w:hAnsi="Arial" w:cs="Arial"/>
          <w:sz w:val="22"/>
          <w:szCs w:val="22"/>
        </w:rPr>
        <w:t xml:space="preserve"> </w:t>
      </w:r>
    </w:p>
    <w:p w14:paraId="23BB48A1" w14:textId="798ECD5C" w:rsidR="00554D79" w:rsidRDefault="00154AB6" w:rsidP="00DC70E1">
      <w:pPr>
        <w:spacing w:line="240" w:lineRule="auto"/>
        <w:rPr>
          <w:rFonts w:ascii="Arial" w:hAnsi="Arial" w:cs="Arial"/>
          <w:sz w:val="22"/>
          <w:szCs w:val="22"/>
        </w:rPr>
      </w:pPr>
      <w:r>
        <w:rPr>
          <w:rFonts w:ascii="Arial" w:hAnsi="Arial" w:cs="Arial"/>
          <w:sz w:val="22"/>
          <w:szCs w:val="22"/>
        </w:rPr>
        <w:t xml:space="preserve">For the purposes of this standard, the final decision of any </w:t>
      </w:r>
      <w:r w:rsidR="004D3D82">
        <w:rPr>
          <w:rFonts w:ascii="Arial" w:hAnsi="Arial" w:cs="Arial"/>
          <w:sz w:val="22"/>
          <w:szCs w:val="22"/>
        </w:rPr>
        <w:t xml:space="preserve">policy response will remain the insurer claims handler. Any </w:t>
      </w:r>
      <w:r w:rsidR="0055721A">
        <w:rPr>
          <w:rFonts w:ascii="Arial" w:hAnsi="Arial" w:cs="Arial"/>
          <w:sz w:val="22"/>
          <w:szCs w:val="22"/>
        </w:rPr>
        <w:t xml:space="preserve">response the learner is giving should be in line with their role in the process. </w:t>
      </w: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51E75B0F"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42C30C17" w14:textId="77777777" w:rsidR="00155003" w:rsidRDefault="00155003" w:rsidP="009B093B">
      <w:pPr>
        <w:spacing w:line="240" w:lineRule="auto"/>
        <w:rPr>
          <w:rFonts w:ascii="Arial" w:hAnsi="Arial" w:cs="Arial"/>
          <w:color w:val="000000" w:themeColor="text1"/>
          <w:sz w:val="22"/>
          <w:szCs w:val="22"/>
        </w:rPr>
      </w:pPr>
      <w:r>
        <w:rPr>
          <w:rFonts w:ascii="Arial" w:hAnsi="Arial" w:cs="Arial"/>
          <w:color w:val="000000" w:themeColor="text1"/>
          <w:sz w:val="22"/>
          <w:szCs w:val="22"/>
        </w:rPr>
        <w:t>Policy structure</w:t>
      </w:r>
    </w:p>
    <w:p w14:paraId="77FFEC35" w14:textId="77777777" w:rsidR="00B14F71" w:rsidRPr="00735D70" w:rsidRDefault="00B14F71" w:rsidP="00B14F71">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o</w:t>
      </w:r>
      <w:r w:rsidRPr="00735D70">
        <w:rPr>
          <w:rFonts w:ascii="Arial" w:hAnsi="Arial" w:cs="Arial"/>
          <w:color w:val="000000" w:themeColor="text1"/>
          <w:sz w:val="22"/>
          <w:szCs w:val="22"/>
        </w:rPr>
        <w:t xml:space="preserve">perative </w:t>
      </w:r>
      <w:r>
        <w:rPr>
          <w:rFonts w:ascii="Arial" w:hAnsi="Arial" w:cs="Arial"/>
          <w:color w:val="000000" w:themeColor="text1"/>
          <w:sz w:val="22"/>
          <w:szCs w:val="22"/>
        </w:rPr>
        <w:t xml:space="preserve">or insuring </w:t>
      </w:r>
      <w:r w:rsidRPr="00735D70">
        <w:rPr>
          <w:rFonts w:ascii="Arial" w:hAnsi="Arial" w:cs="Arial"/>
          <w:color w:val="000000" w:themeColor="text1"/>
          <w:sz w:val="22"/>
          <w:szCs w:val="22"/>
        </w:rPr>
        <w:t>clause</w:t>
      </w:r>
    </w:p>
    <w:p w14:paraId="3015A058" w14:textId="77777777" w:rsidR="00B14F71" w:rsidRPr="00735D70" w:rsidRDefault="00B14F71" w:rsidP="00B14F71">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e</w:t>
      </w:r>
      <w:r w:rsidRPr="00735D70">
        <w:rPr>
          <w:rFonts w:ascii="Arial" w:hAnsi="Arial" w:cs="Arial"/>
          <w:color w:val="000000" w:themeColor="text1"/>
          <w:sz w:val="22"/>
          <w:szCs w:val="22"/>
        </w:rPr>
        <w:t>xtensions</w:t>
      </w:r>
    </w:p>
    <w:p w14:paraId="48B529CF" w14:textId="77777777" w:rsidR="00B14F71" w:rsidRDefault="00B14F71" w:rsidP="00B14F71">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e</w:t>
      </w:r>
      <w:r w:rsidRPr="00735D70">
        <w:rPr>
          <w:rFonts w:ascii="Arial" w:hAnsi="Arial" w:cs="Arial"/>
          <w:color w:val="000000" w:themeColor="text1"/>
          <w:sz w:val="22"/>
          <w:szCs w:val="22"/>
        </w:rPr>
        <w:t>xclusions</w:t>
      </w:r>
    </w:p>
    <w:p w14:paraId="6911BBDE" w14:textId="76B1B817" w:rsidR="00B14F71" w:rsidRDefault="00B14F71" w:rsidP="00B14F71">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definitions</w:t>
      </w:r>
    </w:p>
    <w:p w14:paraId="68613366" w14:textId="77777777" w:rsidR="00B14F71" w:rsidRPr="00735D70" w:rsidRDefault="00B14F71" w:rsidP="00B14F71">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conditions</w:t>
      </w:r>
    </w:p>
    <w:p w14:paraId="73FDC4A4" w14:textId="77777777" w:rsidR="00B14F71" w:rsidRDefault="00B14F71" w:rsidP="00B14F71">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e</w:t>
      </w:r>
      <w:r w:rsidRPr="00735D70">
        <w:rPr>
          <w:rFonts w:ascii="Arial" w:hAnsi="Arial" w:cs="Arial"/>
          <w:color w:val="000000" w:themeColor="text1"/>
          <w:sz w:val="22"/>
          <w:szCs w:val="22"/>
        </w:rPr>
        <w:t xml:space="preserve">ndorsements  </w:t>
      </w:r>
    </w:p>
    <w:p w14:paraId="696DB9B1" w14:textId="77777777" w:rsidR="00B14F71" w:rsidRDefault="00B14F71" w:rsidP="00B14F71">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warranties</w:t>
      </w:r>
    </w:p>
    <w:p w14:paraId="3179ADB8" w14:textId="77777777" w:rsidR="00B14F71" w:rsidRDefault="00B14F71" w:rsidP="00B14F71">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schedule</w:t>
      </w:r>
    </w:p>
    <w:p w14:paraId="240A2D55" w14:textId="77777777" w:rsidR="00B14F71" w:rsidRDefault="00B14F71" w:rsidP="00B14F71">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limits and sub-limits </w:t>
      </w:r>
    </w:p>
    <w:p w14:paraId="3579E647" w14:textId="77777777" w:rsidR="00B14F71" w:rsidRDefault="00B14F71" w:rsidP="00B14F71">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excesses</w:t>
      </w:r>
    </w:p>
    <w:p w14:paraId="208407D0" w14:textId="77777777" w:rsidR="00B14F71" w:rsidRDefault="00B14F71" w:rsidP="00B14F71">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deductibles. </w:t>
      </w:r>
    </w:p>
    <w:p w14:paraId="2B010F9C" w14:textId="77777777" w:rsidR="008D4606" w:rsidRDefault="008D4606"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1C58F30C" w14:textId="77777777" w:rsidR="005445D4" w:rsidRPr="006D2897"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hyperlink r:id="rId15" w:history="1">
        <w:r w:rsidRPr="00EB77AF">
          <w:rPr>
            <w:rStyle w:val="Hyperlink"/>
            <w:rFonts w:ascii="Arial" w:hAnsi="Arial" w:cs="Arial"/>
            <w:sz w:val="22"/>
            <w:szCs w:val="22"/>
          </w:rPr>
          <w:t>Code of Professional Conduct for Financial Advice Services</w:t>
        </w:r>
      </w:hyperlink>
    </w:p>
    <w:p w14:paraId="1B70CD6F" w14:textId="77777777" w:rsidR="005445D4"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r w:rsidRPr="006D2897">
        <w:rPr>
          <w:rFonts w:ascii="Arial" w:hAnsi="Arial" w:cs="Arial"/>
          <w:color w:val="000000"/>
          <w:sz w:val="22"/>
          <w:szCs w:val="22"/>
        </w:rPr>
        <w:t>Consumer Guarantees Act 1993</w:t>
      </w:r>
    </w:p>
    <w:p w14:paraId="5185D189" w14:textId="77777777" w:rsidR="005445D4" w:rsidRDefault="005445D4" w:rsidP="005445D4">
      <w:pPr>
        <w:pStyle w:val="NormalWeb"/>
        <w:numPr>
          <w:ilvl w:val="0"/>
          <w:numId w:val="48"/>
        </w:numPr>
        <w:tabs>
          <w:tab w:val="left" w:pos="2805"/>
        </w:tabs>
        <w:spacing w:before="0" w:beforeAutospacing="0" w:after="0" w:afterAutospacing="0"/>
        <w:ind w:left="284" w:hanging="284"/>
        <w:rPr>
          <w:rFonts w:ascii="Arial" w:hAnsi="Arial" w:cs="Arial"/>
          <w:sz w:val="22"/>
          <w:szCs w:val="22"/>
        </w:rPr>
      </w:pPr>
      <w:r>
        <w:rPr>
          <w:rFonts w:ascii="Arial" w:hAnsi="Arial" w:cs="Arial"/>
          <w:color w:val="000000"/>
          <w:sz w:val="22"/>
          <w:szCs w:val="22"/>
        </w:rPr>
        <w:t xml:space="preserve">Contracts of Insurance Act 2024 </w:t>
      </w:r>
      <w:r w:rsidRPr="00EF2330">
        <w:rPr>
          <w:rFonts w:ascii="Arial" w:hAnsi="Arial" w:cs="Arial"/>
          <w:sz w:val="22"/>
          <w:szCs w:val="22"/>
        </w:rPr>
        <w:t>Contracts of Insurance (Repeals and Amendments) Act 2024</w:t>
      </w:r>
    </w:p>
    <w:p w14:paraId="187078DA" w14:textId="77777777" w:rsidR="005E5AE0" w:rsidRPr="005F3721" w:rsidRDefault="005E5AE0" w:rsidP="005723DC">
      <w:pPr>
        <w:pStyle w:val="ListParagraph"/>
        <w:numPr>
          <w:ilvl w:val="0"/>
          <w:numId w:val="48"/>
        </w:numPr>
        <w:spacing w:after="0" w:line="240" w:lineRule="auto"/>
        <w:ind w:left="284" w:hanging="284"/>
        <w:rPr>
          <w:rStyle w:val="Hyperlink"/>
          <w:rFonts w:ascii="Arial" w:hAnsi="Arial" w:cs="Arial"/>
          <w:sz w:val="22"/>
          <w:szCs w:val="22"/>
        </w:rPr>
      </w:pPr>
      <w:r w:rsidRPr="00505834">
        <w:rPr>
          <w:rFonts w:ascii="Arial" w:hAnsi="Arial" w:cs="Arial"/>
          <w:color w:val="000000" w:themeColor="text1"/>
          <w:sz w:val="22"/>
          <w:szCs w:val="22"/>
        </w:rPr>
        <w:t xml:space="preserve">Customer vulnerability and expectations for providers - </w:t>
      </w:r>
      <w:hyperlink r:id="rId16" w:history="1">
        <w:r w:rsidRPr="005F3721">
          <w:rPr>
            <w:rStyle w:val="Hyperlink"/>
            <w:rFonts w:ascii="Arial" w:hAnsi="Arial" w:cs="Arial"/>
            <w:sz w:val="22"/>
            <w:szCs w:val="22"/>
          </w:rPr>
          <w:t>CustomerVulnerability-ourexpectationsforproviders.pdf (fma.govt.nz)</w:t>
        </w:r>
      </w:hyperlink>
      <w:r w:rsidRPr="005F3721">
        <w:rPr>
          <w:rStyle w:val="Hyperlink"/>
          <w:rFonts w:ascii="Arial" w:hAnsi="Arial" w:cs="Arial"/>
          <w:sz w:val="22"/>
          <w:szCs w:val="22"/>
        </w:rPr>
        <w:t xml:space="preserve"> </w:t>
      </w:r>
    </w:p>
    <w:p w14:paraId="15C44B6D" w14:textId="77777777" w:rsidR="005445D4"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r w:rsidRPr="006D2897">
        <w:rPr>
          <w:rFonts w:ascii="Arial" w:hAnsi="Arial" w:cs="Arial"/>
          <w:color w:val="000000"/>
          <w:sz w:val="22"/>
          <w:szCs w:val="22"/>
        </w:rPr>
        <w:t xml:space="preserve">Fair </w:t>
      </w:r>
      <w:r>
        <w:rPr>
          <w:rFonts w:ascii="Arial" w:hAnsi="Arial" w:cs="Arial"/>
          <w:color w:val="000000"/>
          <w:sz w:val="22"/>
          <w:szCs w:val="22"/>
        </w:rPr>
        <w:t>Insurance Code 2016</w:t>
      </w:r>
    </w:p>
    <w:p w14:paraId="268E5DE1" w14:textId="77777777" w:rsidR="005445D4"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r>
        <w:rPr>
          <w:rFonts w:ascii="Arial" w:hAnsi="Arial" w:cs="Arial"/>
          <w:color w:val="000000"/>
          <w:sz w:val="22"/>
          <w:szCs w:val="22"/>
        </w:rPr>
        <w:t>Fair Trading Act 1986</w:t>
      </w:r>
    </w:p>
    <w:p w14:paraId="6534924B" w14:textId="77777777" w:rsidR="005723DC" w:rsidRPr="0066760C" w:rsidRDefault="005723DC" w:rsidP="005723DC">
      <w:pPr>
        <w:pStyle w:val="NormalWeb"/>
        <w:numPr>
          <w:ilvl w:val="0"/>
          <w:numId w:val="48"/>
        </w:numPr>
        <w:spacing w:before="0" w:beforeAutospacing="0" w:after="0" w:afterAutospacing="0"/>
        <w:ind w:left="284" w:hanging="284"/>
        <w:rPr>
          <w:rStyle w:val="Hyperlink"/>
          <w:rFonts w:ascii="Arial" w:hAnsi="Arial" w:cs="Arial"/>
          <w:kern w:val="28"/>
          <w:sz w:val="22"/>
          <w:szCs w:val="22"/>
          <w14:ligatures w14:val="standard"/>
          <w14:cntxtAlts/>
        </w:rPr>
      </w:pPr>
      <w:hyperlink r:id="rId17" w:history="1">
        <w:r w:rsidRPr="00377608">
          <w:rPr>
            <w:rStyle w:val="Hyperlink"/>
            <w:rFonts w:ascii="Arial" w:hAnsi="Arial" w:cs="Arial"/>
            <w:kern w:val="28"/>
            <w:sz w:val="22"/>
            <w:szCs w:val="22"/>
            <w14:ligatures w14:val="standard"/>
            <w14:cntxtAlts/>
          </w:rPr>
          <w:t xml:space="preserve">Financial Markets Authority - Developing cyber resilience for financial advice providers </w:t>
        </w:r>
        <w:r w:rsidRPr="0066760C">
          <w:rPr>
            <w:rStyle w:val="Hyperlink"/>
            <w:rFonts w:ascii="Arial" w:hAnsi="Arial" w:cs="Arial"/>
            <w:kern w:val="28"/>
            <w:sz w:val="22"/>
            <w:szCs w:val="22"/>
            <w14:ligatures w14:val="standard"/>
            <w14:cntxtAlts/>
          </w:rPr>
          <w:t>(July 2024)</w:t>
        </w:r>
      </w:hyperlink>
    </w:p>
    <w:p w14:paraId="3EB44CF1" w14:textId="77777777" w:rsidR="005445D4" w:rsidRPr="007F1FBE" w:rsidRDefault="005445D4" w:rsidP="005445D4">
      <w:pPr>
        <w:pStyle w:val="ListParagraph"/>
        <w:numPr>
          <w:ilvl w:val="0"/>
          <w:numId w:val="48"/>
        </w:numPr>
        <w:spacing w:after="0" w:line="240" w:lineRule="auto"/>
        <w:ind w:left="284" w:hanging="284"/>
        <w:rPr>
          <w:rFonts w:ascii="Arial" w:hAnsi="Arial" w:cs="Arial"/>
          <w:sz w:val="22"/>
          <w:szCs w:val="22"/>
        </w:rPr>
      </w:pPr>
      <w:r w:rsidRPr="007F1FBE">
        <w:rPr>
          <w:rFonts w:ascii="Arial" w:hAnsi="Arial" w:cs="Arial"/>
          <w:color w:val="000000" w:themeColor="text1"/>
          <w:sz w:val="22"/>
          <w:szCs w:val="22"/>
        </w:rPr>
        <w:t xml:space="preserve">Financial Markets Authority- </w:t>
      </w:r>
      <w:hyperlink r:id="rId18" w:history="1">
        <w:r w:rsidRPr="007F1FBE">
          <w:rPr>
            <w:rStyle w:val="Hyperlink"/>
            <w:rFonts w:ascii="Arial" w:hAnsi="Arial" w:cs="Arial"/>
            <w:sz w:val="22"/>
            <w:szCs w:val="22"/>
          </w:rPr>
          <w:t>Understanding Artificial Intelligence in Financial Services (July 2024)</w:t>
        </w:r>
      </w:hyperlink>
      <w:r w:rsidRPr="007F1FBE">
        <w:rPr>
          <w:rFonts w:ascii="Arial" w:hAnsi="Arial" w:cs="Arial"/>
          <w:color w:val="000000" w:themeColor="text1"/>
          <w:sz w:val="22"/>
          <w:szCs w:val="22"/>
        </w:rPr>
        <w:t xml:space="preserve"> by Mikayla </w:t>
      </w:r>
      <w:proofErr w:type="spellStart"/>
      <w:r w:rsidRPr="007F1FBE">
        <w:rPr>
          <w:rFonts w:ascii="Arial" w:hAnsi="Arial" w:cs="Arial"/>
          <w:color w:val="000000" w:themeColor="text1"/>
          <w:sz w:val="22"/>
          <w:szCs w:val="22"/>
        </w:rPr>
        <w:t>Pakinga</w:t>
      </w:r>
      <w:proofErr w:type="spellEnd"/>
      <w:r w:rsidRPr="007F1FBE">
        <w:rPr>
          <w:rFonts w:ascii="Arial" w:hAnsi="Arial" w:cs="Arial"/>
          <w:color w:val="000000" w:themeColor="text1"/>
          <w:sz w:val="22"/>
          <w:szCs w:val="22"/>
        </w:rPr>
        <w:t xml:space="preserve">-Lawson, Amie White, Stuart Johnson  </w:t>
      </w:r>
    </w:p>
    <w:p w14:paraId="25F888FA" w14:textId="77777777" w:rsidR="005445D4"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r>
        <w:rPr>
          <w:rFonts w:ascii="Arial" w:hAnsi="Arial" w:cs="Arial"/>
          <w:color w:val="000000"/>
          <w:sz w:val="22"/>
          <w:szCs w:val="22"/>
        </w:rPr>
        <w:t xml:space="preserve">Financial Markets Conduct Act 2013 </w:t>
      </w:r>
    </w:p>
    <w:p w14:paraId="4AABA6FA" w14:textId="77777777" w:rsidR="005445D4" w:rsidRPr="005702F3"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r>
        <w:rPr>
          <w:rFonts w:ascii="Arial" w:hAnsi="Arial" w:cs="Arial"/>
          <w:color w:val="000000"/>
          <w:sz w:val="22"/>
          <w:szCs w:val="22"/>
        </w:rPr>
        <w:t xml:space="preserve">Financial Services Legislation Amendment Act 2019 </w:t>
      </w:r>
      <w:r w:rsidRPr="005702F3">
        <w:rPr>
          <w:rFonts w:ascii="Arial" w:hAnsi="Arial" w:cs="Arial"/>
          <w:color w:val="000000"/>
          <w:sz w:val="22"/>
          <w:szCs w:val="22"/>
        </w:rPr>
        <w:t>Financial Services Providers (Registration and Dispute Resolution) Act 2008</w:t>
      </w:r>
    </w:p>
    <w:p w14:paraId="36319B97" w14:textId="77777777" w:rsidR="005445D4" w:rsidRPr="006D2897"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r>
        <w:rPr>
          <w:rFonts w:ascii="Arial" w:hAnsi="Arial" w:cs="Arial"/>
          <w:color w:val="000000"/>
          <w:sz w:val="22"/>
          <w:szCs w:val="22"/>
        </w:rPr>
        <w:t>Health and Safety at Work Act 2015</w:t>
      </w:r>
    </w:p>
    <w:p w14:paraId="282AB05F" w14:textId="77777777" w:rsidR="005445D4" w:rsidRPr="005702F3"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r w:rsidRPr="005702F3">
        <w:rPr>
          <w:rFonts w:ascii="Arial" w:hAnsi="Arial" w:cs="Arial"/>
          <w:color w:val="000000"/>
          <w:sz w:val="22"/>
          <w:szCs w:val="22"/>
        </w:rPr>
        <w:t>Insurance Intermediaries Act 1994</w:t>
      </w:r>
    </w:p>
    <w:p w14:paraId="08BCEF0D" w14:textId="77777777" w:rsidR="005445D4"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r>
        <w:rPr>
          <w:rFonts w:ascii="Arial" w:hAnsi="Arial" w:cs="Arial"/>
          <w:color w:val="000000"/>
          <w:sz w:val="22"/>
          <w:szCs w:val="22"/>
        </w:rPr>
        <w:t>Insurance Law Reform Act 1977</w:t>
      </w:r>
    </w:p>
    <w:p w14:paraId="532B8496" w14:textId="77777777" w:rsidR="005445D4" w:rsidRPr="00EF2330" w:rsidRDefault="005445D4" w:rsidP="005445D4">
      <w:pPr>
        <w:pStyle w:val="ListParagraph"/>
        <w:numPr>
          <w:ilvl w:val="0"/>
          <w:numId w:val="48"/>
        </w:numPr>
        <w:tabs>
          <w:tab w:val="left" w:pos="2805"/>
        </w:tabs>
        <w:spacing w:after="0" w:line="240" w:lineRule="auto"/>
        <w:ind w:left="284" w:hanging="284"/>
        <w:rPr>
          <w:rFonts w:ascii="Arial" w:hAnsi="Arial" w:cs="Arial"/>
          <w:kern w:val="0"/>
          <w:sz w:val="22"/>
          <w:szCs w:val="22"/>
          <w14:ligatures w14:val="none"/>
          <w14:cntxtAlts w14:val="0"/>
        </w:rPr>
      </w:pPr>
      <w:r w:rsidRPr="005702F3">
        <w:rPr>
          <w:rFonts w:ascii="Arial" w:hAnsi="Arial" w:cs="Arial"/>
          <w:sz w:val="22"/>
          <w:szCs w:val="22"/>
        </w:rPr>
        <w:t xml:space="preserve">Insurance Law Reform Act 1985 </w:t>
      </w:r>
      <w:r w:rsidRPr="00EF2330">
        <w:rPr>
          <w:rFonts w:ascii="Arial" w:hAnsi="Arial" w:cs="Arial"/>
          <w:kern w:val="0"/>
          <w:sz w:val="22"/>
          <w:szCs w:val="22"/>
          <w14:ligatures w14:val="none"/>
          <w14:cntxtAlts w14:val="0"/>
        </w:rPr>
        <w:t>Life Insurance Act 1908</w:t>
      </w:r>
    </w:p>
    <w:p w14:paraId="478A578B" w14:textId="77777777" w:rsidR="005445D4"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r w:rsidRPr="006D2897">
        <w:rPr>
          <w:rFonts w:ascii="Arial" w:hAnsi="Arial" w:cs="Arial"/>
          <w:color w:val="000000"/>
          <w:sz w:val="22"/>
          <w:szCs w:val="22"/>
        </w:rPr>
        <w:t>Privacy Act 2020</w:t>
      </w:r>
    </w:p>
    <w:p w14:paraId="214D3C4D" w14:textId="77777777" w:rsidR="005445D4"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r>
        <w:rPr>
          <w:rFonts w:ascii="Arial" w:hAnsi="Arial" w:cs="Arial"/>
          <w:color w:val="000000"/>
          <w:sz w:val="22"/>
          <w:szCs w:val="22"/>
        </w:rPr>
        <w:t>Fire and Emergency New Zealand Act 2017</w:t>
      </w:r>
    </w:p>
    <w:p w14:paraId="2B0F106B" w14:textId="77777777" w:rsidR="005445D4"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r>
        <w:rPr>
          <w:rFonts w:ascii="Arial" w:hAnsi="Arial" w:cs="Arial"/>
          <w:color w:val="000000"/>
          <w:sz w:val="22"/>
          <w:szCs w:val="22"/>
        </w:rPr>
        <w:t>Insurance Prudential Supervision Act 2010</w:t>
      </w:r>
    </w:p>
    <w:p w14:paraId="7BF5A66B" w14:textId="77777777" w:rsidR="005445D4"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r>
        <w:rPr>
          <w:rFonts w:ascii="Arial" w:hAnsi="Arial" w:cs="Arial"/>
          <w:color w:val="000000"/>
          <w:sz w:val="22"/>
          <w:szCs w:val="22"/>
        </w:rPr>
        <w:t>Law Reform Act 1936</w:t>
      </w:r>
    </w:p>
    <w:p w14:paraId="19FE5700" w14:textId="77777777" w:rsidR="005445D4"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r>
        <w:rPr>
          <w:rFonts w:ascii="Arial" w:hAnsi="Arial" w:cs="Arial"/>
          <w:color w:val="000000"/>
          <w:sz w:val="22"/>
          <w:szCs w:val="22"/>
        </w:rPr>
        <w:t>Financial Market (Conduct of Institutions) Amendment Act 2022</w:t>
      </w:r>
    </w:p>
    <w:p w14:paraId="4D5C65DA" w14:textId="77777777" w:rsidR="005445D4" w:rsidRPr="005702F3" w:rsidRDefault="005445D4" w:rsidP="005445D4">
      <w:pPr>
        <w:pStyle w:val="NormalWeb"/>
        <w:numPr>
          <w:ilvl w:val="0"/>
          <w:numId w:val="48"/>
        </w:numPr>
        <w:spacing w:before="0" w:beforeAutospacing="0" w:after="0" w:afterAutospacing="0"/>
        <w:ind w:left="284" w:hanging="284"/>
        <w:rPr>
          <w:rFonts w:ascii="Arial" w:hAnsi="Arial" w:cs="Arial"/>
          <w:color w:val="000000"/>
          <w:sz w:val="22"/>
          <w:szCs w:val="22"/>
        </w:rPr>
      </w:pPr>
      <w:r>
        <w:rPr>
          <w:rFonts w:ascii="Arial" w:hAnsi="Arial" w:cs="Arial"/>
          <w:color w:val="000000"/>
          <w:sz w:val="22"/>
          <w:szCs w:val="22"/>
        </w:rPr>
        <w:t>Natural Hazards Insurance Act 2023</w:t>
      </w:r>
    </w:p>
    <w:p w14:paraId="6CBC47A4" w14:textId="77777777" w:rsidR="005445D4" w:rsidRPr="00EF2330" w:rsidRDefault="005445D4" w:rsidP="005445D4">
      <w:pPr>
        <w:pStyle w:val="NormalWeb"/>
        <w:numPr>
          <w:ilvl w:val="0"/>
          <w:numId w:val="48"/>
        </w:numPr>
        <w:spacing w:before="0" w:beforeAutospacing="0" w:after="0" w:afterAutospacing="0"/>
        <w:ind w:left="284" w:hanging="284"/>
        <w:rPr>
          <w:rFonts w:ascii="Arial" w:hAnsi="Arial" w:cs="Arial"/>
          <w:sz w:val="22"/>
          <w:szCs w:val="22"/>
        </w:rPr>
      </w:pPr>
      <w:r w:rsidRPr="0097438B">
        <w:rPr>
          <w:rFonts w:ascii="Arial" w:hAnsi="Arial" w:cs="Arial"/>
          <w:color w:val="000000"/>
          <w:sz w:val="22"/>
          <w:szCs w:val="22"/>
        </w:rPr>
        <w:t xml:space="preserve">Relevant industry codes of </w:t>
      </w:r>
      <w:proofErr w:type="gramStart"/>
      <w:r w:rsidRPr="0097438B">
        <w:rPr>
          <w:rFonts w:ascii="Arial" w:hAnsi="Arial" w:cs="Arial"/>
          <w:color w:val="000000"/>
          <w:sz w:val="22"/>
          <w:szCs w:val="22"/>
        </w:rPr>
        <w:t>conduct</w:t>
      </w:r>
      <w:r>
        <w:rPr>
          <w:rFonts w:ascii="Arial" w:hAnsi="Arial" w:cs="Arial"/>
          <w:color w:val="000000"/>
          <w:sz w:val="22"/>
          <w:szCs w:val="22"/>
        </w:rPr>
        <w:t>;</w:t>
      </w:r>
      <w:proofErr w:type="gramEnd"/>
      <w:r>
        <w:rPr>
          <w:rFonts w:ascii="Arial" w:hAnsi="Arial" w:cs="Arial"/>
          <w:color w:val="000000"/>
          <w:sz w:val="22"/>
          <w:szCs w:val="22"/>
        </w:rPr>
        <w:t xml:space="preserve"> </w:t>
      </w:r>
    </w:p>
    <w:p w14:paraId="0E154A8E" w14:textId="77777777" w:rsidR="005445D4" w:rsidRPr="00EF2330" w:rsidRDefault="005445D4" w:rsidP="005445D4">
      <w:pPr>
        <w:spacing w:line="240" w:lineRule="auto"/>
        <w:ind w:left="284"/>
        <w:rPr>
          <w:rStyle w:val="Hyperlink"/>
          <w:rFonts w:ascii="Arial" w:hAnsi="Arial" w:cs="Arial"/>
          <w:color w:val="000000" w:themeColor="text1"/>
          <w:sz w:val="22"/>
          <w:szCs w:val="22"/>
          <w:u w:val="none"/>
        </w:rPr>
      </w:pPr>
      <w:r w:rsidRPr="00EF2330">
        <w:rPr>
          <w:rStyle w:val="Hyperlink"/>
          <w:rFonts w:ascii="Arial" w:hAnsi="Arial" w:cs="Arial"/>
          <w:color w:val="000000" w:themeColor="text1"/>
          <w:sz w:val="22"/>
          <w:szCs w:val="22"/>
          <w:u w:val="none"/>
        </w:rPr>
        <w:t xml:space="preserve">and </w:t>
      </w:r>
      <w:r w:rsidRPr="00EF2330">
        <w:rPr>
          <w:rFonts w:ascii="Arial" w:hAnsi="Arial" w:cs="Arial"/>
          <w:color w:val="000000" w:themeColor="text1"/>
          <w:sz w:val="22"/>
          <w:szCs w:val="22"/>
        </w:rPr>
        <w:t xml:space="preserve">their subsequent amendments or replacements. </w:t>
      </w:r>
    </w:p>
    <w:p w14:paraId="571DABFE" w14:textId="1FD3CF08" w:rsidR="00540276" w:rsidRPr="00337F87" w:rsidRDefault="00540276" w:rsidP="00540276">
      <w:pPr>
        <w:pStyle w:val="NormalWeb"/>
        <w:spacing w:before="0" w:beforeAutospacing="0" w:after="0" w:afterAutospacing="0"/>
        <w:ind w:left="284"/>
        <w:rPr>
          <w:rFonts w:ascii="Arial" w:hAnsi="Arial" w:cs="Arial"/>
          <w:color w:val="000000" w:themeColor="text1"/>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3" w:name="_Hlk111798136"/>
      <w:proofErr w:type="spellStart"/>
      <w:r w:rsidRPr="00A62053">
        <w:rPr>
          <w:rFonts w:ascii="Arial" w:hAnsi="Arial" w:cs="Arial"/>
          <w:b/>
          <w:bCs/>
          <w:color w:val="000000" w:themeColor="text1"/>
          <w:sz w:val="22"/>
          <w:szCs w:val="22"/>
        </w:rPr>
        <w:lastRenderedPageBreak/>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3B602B" w:rsidRPr="004046BA" w14:paraId="4B4E40C3" w14:textId="77777777" w:rsidTr="00DC70E1">
        <w:trPr>
          <w:cantSplit/>
        </w:trPr>
        <w:tc>
          <w:tcPr>
            <w:tcW w:w="4923" w:type="dxa"/>
            <w:shd w:val="clear" w:color="auto" w:fill="8DCCD2"/>
          </w:tcPr>
          <w:bookmarkEnd w:id="3"/>
          <w:p w14:paraId="0DCBB857" w14:textId="41A6347A" w:rsidR="003B602B" w:rsidRPr="007950E6" w:rsidRDefault="003B602B" w:rsidP="003B602B">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 </w:t>
            </w:r>
            <w:r w:rsidRPr="00446346">
              <w:rPr>
                <w:rFonts w:ascii="Arial" w:hAnsi="Arial" w:cs="Arial"/>
                <w:color w:val="000000" w:themeColor="text1"/>
                <w:sz w:val="22"/>
                <w:szCs w:val="22"/>
              </w:rPr>
              <w:t>Standard</w:t>
            </w:r>
            <w:r>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59DE7BE6" w:rsidR="003B602B" w:rsidRPr="002205DA" w:rsidRDefault="003B602B" w:rsidP="003B602B">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003B602B" w:rsidRPr="004046BA" w14:paraId="679D94FF" w14:textId="77777777" w:rsidTr="00DC70E1">
        <w:trPr>
          <w:cantSplit/>
        </w:trPr>
        <w:tc>
          <w:tcPr>
            <w:tcW w:w="4923" w:type="dxa"/>
            <w:shd w:val="clear" w:color="auto" w:fill="8DCCD2"/>
          </w:tcPr>
          <w:p w14:paraId="14176377" w14:textId="7A678D22" w:rsidR="003B602B" w:rsidRPr="007950E6" w:rsidRDefault="003B602B" w:rsidP="003B602B">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4744009E" w:rsidR="003B602B" w:rsidRPr="004046BA" w:rsidRDefault="003B602B" w:rsidP="003B602B">
            <w:pPr>
              <w:spacing w:line="240" w:lineRule="auto"/>
              <w:rPr>
                <w:rFonts w:ascii="Arial" w:hAnsi="Arial" w:cs="Arial"/>
                <w:sz w:val="22"/>
                <w:szCs w:val="22"/>
              </w:rPr>
            </w:pPr>
            <w:r>
              <w:rPr>
                <w:rFonts w:ascii="Arial" w:hAnsi="Arial" w:cs="Arial"/>
                <w:sz w:val="22"/>
                <w:szCs w:val="22"/>
              </w:rPr>
              <w:t>Service Sector&gt; Financial Services&gt; Professional Practice</w:t>
            </w:r>
          </w:p>
        </w:tc>
      </w:tr>
      <w:tr w:rsidR="003B602B" w:rsidRPr="004046BA" w14:paraId="5169D322" w14:textId="77777777" w:rsidTr="00DC70E1">
        <w:trPr>
          <w:cantSplit/>
        </w:trPr>
        <w:tc>
          <w:tcPr>
            <w:tcW w:w="4923" w:type="dxa"/>
            <w:shd w:val="clear" w:color="auto" w:fill="8DCCD2"/>
          </w:tcPr>
          <w:p w14:paraId="2369F66C" w14:textId="77777777" w:rsidR="003B602B" w:rsidRPr="004046BA" w:rsidRDefault="003B602B" w:rsidP="003B602B">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35DC3B1B" w:rsidR="003B602B" w:rsidRPr="004046BA" w:rsidRDefault="003B602B" w:rsidP="003B602B">
            <w:pPr>
              <w:spacing w:line="240" w:lineRule="auto"/>
              <w:rPr>
                <w:rFonts w:ascii="Arial" w:hAnsi="Arial" w:cs="Arial"/>
                <w:sz w:val="22"/>
                <w:szCs w:val="22"/>
              </w:rPr>
            </w:pPr>
            <w:r>
              <w:rPr>
                <w:rFonts w:ascii="Arial" w:hAnsi="Arial" w:cs="Arial"/>
                <w:sz w:val="22"/>
                <w:szCs w:val="22"/>
              </w:rPr>
              <w:t>0003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536C9E5B" w:rsidR="00D70473" w:rsidRPr="004046BA" w:rsidRDefault="00D03AE7"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47F2A4CE" w:rsidR="00D70473" w:rsidRPr="004046BA" w:rsidRDefault="00D03AE7" w:rsidP="007F7CFF">
            <w:pPr>
              <w:spacing w:before="120" w:line="286" w:lineRule="auto"/>
              <w:rPr>
                <w:rFonts w:ascii="Arial" w:hAnsi="Arial" w:cs="Arial"/>
                <w:sz w:val="22"/>
                <w:szCs w:val="22"/>
              </w:rPr>
            </w:pPr>
            <w:r>
              <w:rPr>
                <w:rFonts w:ascii="Arial" w:hAnsi="Arial" w:cs="Arial"/>
                <w:sz w:val="22"/>
                <w:szCs w:val="22"/>
              </w:rPr>
              <w:t xml:space="preserve">N/A </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6EE732F2" w:rsidR="00D70473" w:rsidRPr="004046BA" w:rsidRDefault="00956318" w:rsidP="00DC70E1">
            <w:pPr>
              <w:spacing w:line="240" w:lineRule="auto"/>
              <w:rPr>
                <w:rFonts w:ascii="Arial" w:hAnsi="Arial" w:cs="Arial"/>
                <w:sz w:val="22"/>
                <w:szCs w:val="22"/>
              </w:rPr>
            </w:pPr>
            <w:r>
              <w:rPr>
                <w:rFonts w:ascii="Arial" w:hAnsi="Arial" w:cs="Arial"/>
                <w:sz w:val="22"/>
                <w:szCs w:val="22"/>
              </w:rPr>
              <w:t xml:space="preserve">N/A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450BEF32" w:rsidR="00D70473" w:rsidRPr="004046BA" w:rsidRDefault="0064018D" w:rsidP="00DC70E1">
            <w:pPr>
              <w:spacing w:line="240" w:lineRule="auto"/>
              <w:rPr>
                <w:rFonts w:ascii="Arial" w:hAnsi="Arial" w:cs="Arial"/>
                <w:sz w:val="22"/>
                <w:szCs w:val="22"/>
              </w:rPr>
            </w:pPr>
            <w:r>
              <w:rPr>
                <w:rFonts w:ascii="Arial" w:hAnsi="Arial" w:cs="Arial"/>
                <w:sz w:val="22"/>
                <w:szCs w:val="22"/>
              </w:rPr>
              <w:t>20</w:t>
            </w:r>
            <w:r w:rsidR="00A12EED">
              <w:rPr>
                <w:rFonts w:ascii="Arial" w:hAnsi="Arial" w:cs="Arial"/>
                <w:sz w:val="22"/>
                <w:szCs w:val="22"/>
              </w:rPr>
              <w:t>30</w:t>
            </w:r>
          </w:p>
        </w:tc>
      </w:tr>
    </w:tbl>
    <w:p w14:paraId="7AE65EB0" w14:textId="77777777" w:rsidR="00D70473" w:rsidRPr="00624205" w:rsidRDefault="00D70473" w:rsidP="00DC70E1">
      <w:pPr>
        <w:spacing w:line="240" w:lineRule="auto"/>
        <w:rPr>
          <w:rFonts w:ascii="Arial" w:hAnsi="Arial" w:cs="Arial"/>
          <w:sz w:val="22"/>
          <w:szCs w:val="22"/>
        </w:rPr>
      </w:pPr>
    </w:p>
    <w:p w14:paraId="4205FF1C" w14:textId="009A1187" w:rsidR="0064018D" w:rsidRPr="00C302FE" w:rsidRDefault="0064018D" w:rsidP="0064018D">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Pr>
          <w:rFonts w:ascii="Arial" w:eastAsiaTheme="minorHAnsi" w:hAnsi="Arial" w:cs="Arial"/>
          <w:color w:val="auto"/>
          <w:kern w:val="0"/>
          <w:sz w:val="22"/>
          <w:szCs w:val="22"/>
          <w:lang w:eastAsia="en-US"/>
          <w14:ligatures w14:val="none"/>
          <w14:cntxtAlts w14:val="0"/>
        </w:rPr>
        <w:t xml:space="preserve">Ringa Hora Services Workforce Development Council </w:t>
      </w:r>
      <w:r w:rsidRPr="00C302FE">
        <w:rPr>
          <w:rFonts w:ascii="Arial" w:eastAsiaTheme="minorHAnsi" w:hAnsi="Arial" w:cs="Arial"/>
          <w:color w:val="auto"/>
          <w:kern w:val="0"/>
          <w:sz w:val="22"/>
          <w:szCs w:val="22"/>
          <w:lang w:eastAsia="en-US"/>
          <w14:ligatures w14:val="none"/>
          <w14:cntxtAlts w14:val="0"/>
        </w:rPr>
        <w:t>at</w:t>
      </w:r>
      <w:r>
        <w:rPr>
          <w:rFonts w:ascii="Arial" w:eastAsiaTheme="minorHAnsi" w:hAnsi="Arial" w:cs="Arial"/>
          <w:color w:val="auto"/>
          <w:kern w:val="0"/>
          <w:sz w:val="22"/>
          <w:szCs w:val="22"/>
          <w:lang w:eastAsia="en-US"/>
          <w14:ligatures w14:val="none"/>
          <w14:cntxtAlts w14:val="0"/>
        </w:rPr>
        <w:t xml:space="preserve"> </w:t>
      </w:r>
      <w:hyperlink r:id="rId19" w:history="1">
        <w:r w:rsidRPr="00452BEC">
          <w:rPr>
            <w:rStyle w:val="Hyperlink"/>
            <w:rFonts w:ascii="Arial" w:eastAsiaTheme="minorHAnsi" w:hAnsi="Arial" w:cs="Arial"/>
            <w:kern w:val="0"/>
            <w:sz w:val="22"/>
            <w:szCs w:val="22"/>
            <w:lang w:eastAsia="en-US"/>
            <w14:ligatures w14:val="none"/>
            <w14:cntxtAlts w14:val="0"/>
          </w:rPr>
          <w:t>qualifications@ringahora.nz</w:t>
        </w:r>
      </w:hyperlink>
      <w:r>
        <w:rPr>
          <w:rFonts w:ascii="Arial" w:eastAsiaTheme="minorHAnsi" w:hAnsi="Arial" w:cs="Arial"/>
          <w:color w:val="auto"/>
          <w:kern w:val="0"/>
          <w:sz w:val="22"/>
          <w:szCs w:val="22"/>
          <w:lang w:eastAsia="en-US"/>
          <w14:ligatures w14:val="none"/>
          <w14:cntxtAlts w14:val="0"/>
        </w:rPr>
        <w:t xml:space="preserve"> </w:t>
      </w:r>
      <w:r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7B18A185"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20"/>
      <w:headerReference w:type="default" r:id="rId21"/>
      <w:footerReference w:type="even" r:id="rId22"/>
      <w:footerReference w:type="default" r:id="rId23"/>
      <w:headerReference w:type="first" r:id="rId24"/>
      <w:footerReference w:type="first" r:id="rId25"/>
      <w:pgSz w:w="11906" w:h="16838"/>
      <w:pgMar w:top="720" w:right="964" w:bottom="720" w:left="964" w:header="374" w:footer="37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ndy Chan" w:date="2024-06-21T11:15:00Z" w:initials="SC">
    <w:p w14:paraId="4910BF00" w14:textId="77777777" w:rsidR="00856339" w:rsidRDefault="00856339" w:rsidP="00856339">
      <w:pPr>
        <w:pStyle w:val="CommentText"/>
      </w:pPr>
      <w:r>
        <w:rPr>
          <w:rStyle w:val="CommentReference"/>
        </w:rPr>
        <w:annotationRef/>
      </w:r>
      <w:r>
        <w:t xml:space="preserve">Include specifications of assessments. Should be flexible to encompass classroom, online, work-based learning </w:t>
      </w:r>
    </w:p>
  </w:comment>
  <w:comment w:id="1" w:author="Mel Gorham" w:date="2024-12-16T11:37:00Z" w:initials="MG">
    <w:p w14:paraId="02A955A3" w14:textId="77777777" w:rsidR="009C5D3C" w:rsidRDefault="009C5D3C" w:rsidP="009C5D3C">
      <w:pPr>
        <w:pStyle w:val="CommentText"/>
      </w:pPr>
      <w:r>
        <w:rPr>
          <w:rStyle w:val="CommentReference"/>
        </w:rPr>
        <w:annotationRef/>
      </w:r>
      <w:r>
        <w:t>Make sure "potential" goes in all of these documents and that this sentence and others are mirrored where they should be.  "potential" is missing from this in General Insurance strand 1 Provide insurance services with the knowledge of the insurance environment and concepts</w:t>
      </w:r>
    </w:p>
  </w:comment>
  <w:comment w:id="2" w:author="Mel Gorham" w:date="2024-12-16T11:44:00Z" w:initials="MG">
    <w:p w14:paraId="3546F208" w14:textId="77777777" w:rsidR="009C5D3C" w:rsidRDefault="009C5D3C" w:rsidP="009C5D3C">
      <w:pPr>
        <w:pStyle w:val="CommentText"/>
      </w:pPr>
      <w:r>
        <w:rPr>
          <w:rStyle w:val="CommentReference"/>
        </w:rPr>
        <w:annotationRef/>
      </w:r>
      <w:r>
        <w:t>Be careful not to appear exhaustive.  Suggest "include" rather than " may be" and the list should be more extensive as a  minimum.   Suggest the second sentence is something like:  "Clients is intentionally broad to capture all types and include, individuals, partnerships, businesses, families, companies, trusts, charities, organisations, body corporates, and associations as current examples"  Mirror this across all documents core and strand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10BF00" w15:done="1"/>
  <w15:commentEx w15:paraId="02A955A3" w15:done="1"/>
  <w15:commentEx w15:paraId="3546F20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F18839" w16cex:dateUtc="2024-06-20T23:15:00Z"/>
  <w16cex:commentExtensible w16cex:durableId="2B0A8F94" w16cex:dateUtc="2024-12-15T22:37:00Z"/>
  <w16cex:commentExtensible w16cex:durableId="2B0A9111" w16cex:dateUtc="2024-12-15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10BF00" w16cid:durableId="57F18839"/>
  <w16cid:commentId w16cid:paraId="02A955A3" w16cid:durableId="2B0A8F94"/>
  <w16cid:commentId w16cid:paraId="3546F208" w16cid:durableId="2B0A91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38BA1" w14:textId="77777777" w:rsidR="004F2982" w:rsidRDefault="004F2982" w:rsidP="000E4D2B">
      <w:pPr>
        <w:spacing w:after="0" w:line="240" w:lineRule="auto"/>
      </w:pPr>
      <w:r>
        <w:separator/>
      </w:r>
    </w:p>
  </w:endnote>
  <w:endnote w:type="continuationSeparator" w:id="0">
    <w:p w14:paraId="1C86F7A1" w14:textId="77777777" w:rsidR="004F2982" w:rsidRDefault="004F2982"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76E8C" w14:textId="77777777" w:rsidR="007E00EB" w:rsidRDefault="007E0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29C154F1"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C20729">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38ECA" w14:textId="77777777" w:rsidR="007E00EB" w:rsidRDefault="007E0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F71B6" w14:textId="77777777" w:rsidR="004F2982" w:rsidRDefault="004F2982" w:rsidP="000E4D2B">
      <w:pPr>
        <w:spacing w:after="0" w:line="240" w:lineRule="auto"/>
      </w:pPr>
      <w:r>
        <w:separator/>
      </w:r>
    </w:p>
  </w:footnote>
  <w:footnote w:type="continuationSeparator" w:id="0">
    <w:p w14:paraId="38A9BEAC" w14:textId="77777777" w:rsidR="004F2982" w:rsidRDefault="004F2982"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105E" w14:textId="77777777" w:rsidR="007E00EB" w:rsidRDefault="007E0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210824"/>
      <w:docPartObj>
        <w:docPartGallery w:val="Watermarks"/>
        <w:docPartUnique/>
      </w:docPartObj>
    </w:sdtPr>
    <w:sdtContent>
      <w:p w14:paraId="1F365D34" w14:textId="764025A4" w:rsidR="007066D6" w:rsidRDefault="00000000">
        <w:pPr>
          <w:pStyle w:val="Header"/>
        </w:pPr>
        <w:r>
          <w:rPr>
            <w:noProof/>
          </w:rPr>
          <w:pict w14:anchorId="5BD9D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9767" o:spid="_x0000_s1025" type="#_x0000_t136" style="position:absolute;margin-left:0;margin-top:0;width:541.05pt;height:162.3pt;rotation:315;z-index:-251658752;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sdtContent>
  </w:sdt>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98DE" w14:textId="77777777" w:rsidR="007E00EB" w:rsidRDefault="007E0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0E440A30"/>
    <w:multiLevelType w:val="hybridMultilevel"/>
    <w:tmpl w:val="FB56C7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A706B64"/>
    <w:multiLevelType w:val="hybridMultilevel"/>
    <w:tmpl w:val="7452F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2C671D98"/>
    <w:multiLevelType w:val="hybridMultilevel"/>
    <w:tmpl w:val="3334CB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5"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1"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2"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3" w15:restartNumberingAfterBreak="0">
    <w:nsid w:val="52A43147"/>
    <w:multiLevelType w:val="hybridMultilevel"/>
    <w:tmpl w:val="37042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8"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48"/>
  </w:num>
  <w:num w:numId="2" w16cid:durableId="915044687">
    <w:abstractNumId w:val="40"/>
  </w:num>
  <w:num w:numId="3" w16cid:durableId="2057119288">
    <w:abstractNumId w:val="39"/>
  </w:num>
  <w:num w:numId="4" w16cid:durableId="1052073817">
    <w:abstractNumId w:val="46"/>
  </w:num>
  <w:num w:numId="5" w16cid:durableId="1425226583">
    <w:abstractNumId w:val="30"/>
  </w:num>
  <w:num w:numId="6" w16cid:durableId="1985312232">
    <w:abstractNumId w:val="35"/>
  </w:num>
  <w:num w:numId="7" w16cid:durableId="1341784238">
    <w:abstractNumId w:val="3"/>
  </w:num>
  <w:num w:numId="8" w16cid:durableId="1267155781">
    <w:abstractNumId w:val="31"/>
  </w:num>
  <w:num w:numId="9" w16cid:durableId="699747702">
    <w:abstractNumId w:val="6"/>
  </w:num>
  <w:num w:numId="10" w16cid:durableId="966857946">
    <w:abstractNumId w:val="38"/>
  </w:num>
  <w:num w:numId="11" w16cid:durableId="44067730">
    <w:abstractNumId w:val="17"/>
  </w:num>
  <w:num w:numId="12" w16cid:durableId="2131123601">
    <w:abstractNumId w:val="45"/>
  </w:num>
  <w:num w:numId="13" w16cid:durableId="1240865703">
    <w:abstractNumId w:val="25"/>
  </w:num>
  <w:num w:numId="14" w16cid:durableId="354120092">
    <w:abstractNumId w:val="23"/>
  </w:num>
  <w:num w:numId="15" w16cid:durableId="1452553513">
    <w:abstractNumId w:val="16"/>
  </w:num>
  <w:num w:numId="16" w16cid:durableId="236936658">
    <w:abstractNumId w:val="28"/>
  </w:num>
  <w:num w:numId="17" w16cid:durableId="893010537">
    <w:abstractNumId w:val="36"/>
  </w:num>
  <w:num w:numId="18" w16cid:durableId="897741747">
    <w:abstractNumId w:val="27"/>
  </w:num>
  <w:num w:numId="19" w16cid:durableId="4285149">
    <w:abstractNumId w:val="22"/>
  </w:num>
  <w:num w:numId="20" w16cid:durableId="671374650">
    <w:abstractNumId w:val="12"/>
  </w:num>
  <w:num w:numId="21" w16cid:durableId="1018316377">
    <w:abstractNumId w:val="44"/>
  </w:num>
  <w:num w:numId="22" w16cid:durableId="537737573">
    <w:abstractNumId w:val="15"/>
  </w:num>
  <w:num w:numId="23" w16cid:durableId="1324354682">
    <w:abstractNumId w:val="2"/>
  </w:num>
  <w:num w:numId="24" w16cid:durableId="1167206038">
    <w:abstractNumId w:val="19"/>
  </w:num>
  <w:num w:numId="25" w16cid:durableId="1496874151">
    <w:abstractNumId w:val="20"/>
  </w:num>
  <w:num w:numId="26" w16cid:durableId="281616417">
    <w:abstractNumId w:val="21"/>
  </w:num>
  <w:num w:numId="27" w16cid:durableId="1241670441">
    <w:abstractNumId w:val="34"/>
  </w:num>
  <w:num w:numId="28" w16cid:durableId="577712039">
    <w:abstractNumId w:val="29"/>
  </w:num>
  <w:num w:numId="29" w16cid:durableId="1669674177">
    <w:abstractNumId w:val="26"/>
  </w:num>
  <w:num w:numId="30" w16cid:durableId="974794058">
    <w:abstractNumId w:val="11"/>
  </w:num>
  <w:num w:numId="31" w16cid:durableId="347946128">
    <w:abstractNumId w:val="5"/>
  </w:num>
  <w:num w:numId="32" w16cid:durableId="472721128">
    <w:abstractNumId w:val="42"/>
  </w:num>
  <w:num w:numId="33" w16cid:durableId="727149661">
    <w:abstractNumId w:val="0"/>
  </w:num>
  <w:num w:numId="34" w16cid:durableId="381174593">
    <w:abstractNumId w:val="37"/>
  </w:num>
  <w:num w:numId="35" w16cid:durableId="939338842">
    <w:abstractNumId w:val="43"/>
  </w:num>
  <w:num w:numId="36" w16cid:durableId="12344548">
    <w:abstractNumId w:val="7"/>
  </w:num>
  <w:num w:numId="37" w16cid:durableId="829250700">
    <w:abstractNumId w:val="41"/>
  </w:num>
  <w:num w:numId="38" w16cid:durableId="1098521021">
    <w:abstractNumId w:val="14"/>
  </w:num>
  <w:num w:numId="39" w16cid:durableId="1086147032">
    <w:abstractNumId w:val="4"/>
  </w:num>
  <w:num w:numId="40" w16cid:durableId="398990129">
    <w:abstractNumId w:val="32"/>
  </w:num>
  <w:num w:numId="41" w16cid:durableId="1906724783">
    <w:abstractNumId w:val="24"/>
  </w:num>
  <w:num w:numId="42" w16cid:durableId="92745473">
    <w:abstractNumId w:val="9"/>
  </w:num>
  <w:num w:numId="43" w16cid:durableId="1952516151">
    <w:abstractNumId w:val="10"/>
  </w:num>
  <w:num w:numId="44" w16cid:durableId="258561260">
    <w:abstractNumId w:val="1"/>
  </w:num>
  <w:num w:numId="45" w16cid:durableId="1097793809">
    <w:abstractNumId w:val="47"/>
  </w:num>
  <w:num w:numId="46" w16cid:durableId="348526440">
    <w:abstractNumId w:val="13"/>
  </w:num>
  <w:num w:numId="47" w16cid:durableId="1615014084">
    <w:abstractNumId w:val="18"/>
  </w:num>
  <w:num w:numId="48" w16cid:durableId="111680702">
    <w:abstractNumId w:val="33"/>
  </w:num>
  <w:num w:numId="49" w16cid:durableId="32054998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dy Chan">
    <w15:presenceInfo w15:providerId="AD" w15:userId="S::Sandy.Chan@ringahora.nz::42f0edee-8d21-4979-873f-762996c5b471"/>
  </w15:person>
  <w15:person w15:author="Mel Gorham">
    <w15:presenceInfo w15:providerId="AD" w15:userId="S::mel@ibanz.co.nz::8cad1a21-6b87-40c3-8d82-f3ecb19f0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31B5"/>
    <w:rsid w:val="0002407A"/>
    <w:rsid w:val="00030C56"/>
    <w:rsid w:val="00033356"/>
    <w:rsid w:val="00041D5C"/>
    <w:rsid w:val="00044F83"/>
    <w:rsid w:val="00046FFC"/>
    <w:rsid w:val="00070812"/>
    <w:rsid w:val="00085BF7"/>
    <w:rsid w:val="0008628A"/>
    <w:rsid w:val="000904D1"/>
    <w:rsid w:val="000920E3"/>
    <w:rsid w:val="000941C7"/>
    <w:rsid w:val="000A01B4"/>
    <w:rsid w:val="000A5CBF"/>
    <w:rsid w:val="000A755F"/>
    <w:rsid w:val="000B65B4"/>
    <w:rsid w:val="000C7321"/>
    <w:rsid w:val="000D0D9C"/>
    <w:rsid w:val="000D1A7E"/>
    <w:rsid w:val="000D6553"/>
    <w:rsid w:val="000D7AF5"/>
    <w:rsid w:val="000E4D2B"/>
    <w:rsid w:val="000E5A36"/>
    <w:rsid w:val="000E7879"/>
    <w:rsid w:val="00101F1B"/>
    <w:rsid w:val="00102389"/>
    <w:rsid w:val="001061EF"/>
    <w:rsid w:val="00110689"/>
    <w:rsid w:val="00114A84"/>
    <w:rsid w:val="00114F70"/>
    <w:rsid w:val="00133EE5"/>
    <w:rsid w:val="00143C2A"/>
    <w:rsid w:val="001516A8"/>
    <w:rsid w:val="0015191A"/>
    <w:rsid w:val="00154AB6"/>
    <w:rsid w:val="00155003"/>
    <w:rsid w:val="00160821"/>
    <w:rsid w:val="001709E9"/>
    <w:rsid w:val="00170D99"/>
    <w:rsid w:val="00172CD5"/>
    <w:rsid w:val="00180BE0"/>
    <w:rsid w:val="001A1A7D"/>
    <w:rsid w:val="001B0110"/>
    <w:rsid w:val="001B3C76"/>
    <w:rsid w:val="001C0074"/>
    <w:rsid w:val="001C069E"/>
    <w:rsid w:val="001C547E"/>
    <w:rsid w:val="001D66E8"/>
    <w:rsid w:val="001F5C6E"/>
    <w:rsid w:val="00205924"/>
    <w:rsid w:val="0020717C"/>
    <w:rsid w:val="002153A4"/>
    <w:rsid w:val="00217970"/>
    <w:rsid w:val="002205DA"/>
    <w:rsid w:val="00221CF9"/>
    <w:rsid w:val="00221E10"/>
    <w:rsid w:val="00222548"/>
    <w:rsid w:val="002256BD"/>
    <w:rsid w:val="0022587B"/>
    <w:rsid w:val="00227EF9"/>
    <w:rsid w:val="00231619"/>
    <w:rsid w:val="00232403"/>
    <w:rsid w:val="00233581"/>
    <w:rsid w:val="002408E9"/>
    <w:rsid w:val="002410A6"/>
    <w:rsid w:val="00246866"/>
    <w:rsid w:val="0025519D"/>
    <w:rsid w:val="00255C11"/>
    <w:rsid w:val="00255F06"/>
    <w:rsid w:val="00256F75"/>
    <w:rsid w:val="002579E2"/>
    <w:rsid w:val="002636A4"/>
    <w:rsid w:val="0026513F"/>
    <w:rsid w:val="00267316"/>
    <w:rsid w:val="0027196C"/>
    <w:rsid w:val="00287A7C"/>
    <w:rsid w:val="002A755F"/>
    <w:rsid w:val="002A7E06"/>
    <w:rsid w:val="002B30E7"/>
    <w:rsid w:val="002B5BDD"/>
    <w:rsid w:val="002B5C4C"/>
    <w:rsid w:val="002B7B23"/>
    <w:rsid w:val="002C3D0F"/>
    <w:rsid w:val="002D240C"/>
    <w:rsid w:val="002E1280"/>
    <w:rsid w:val="002E2DC9"/>
    <w:rsid w:val="002E4C95"/>
    <w:rsid w:val="002E5BE6"/>
    <w:rsid w:val="002F0B71"/>
    <w:rsid w:val="002F6B57"/>
    <w:rsid w:val="00300AF7"/>
    <w:rsid w:val="00303975"/>
    <w:rsid w:val="00303B4E"/>
    <w:rsid w:val="00310EEB"/>
    <w:rsid w:val="00312E54"/>
    <w:rsid w:val="00316436"/>
    <w:rsid w:val="00320B91"/>
    <w:rsid w:val="00337054"/>
    <w:rsid w:val="00337D19"/>
    <w:rsid w:val="00337F87"/>
    <w:rsid w:val="00340A13"/>
    <w:rsid w:val="00341B19"/>
    <w:rsid w:val="00342E93"/>
    <w:rsid w:val="0034342A"/>
    <w:rsid w:val="0035541A"/>
    <w:rsid w:val="0036119B"/>
    <w:rsid w:val="0037343F"/>
    <w:rsid w:val="0038035D"/>
    <w:rsid w:val="003A2C75"/>
    <w:rsid w:val="003A350B"/>
    <w:rsid w:val="003A43D4"/>
    <w:rsid w:val="003B0B83"/>
    <w:rsid w:val="003B2789"/>
    <w:rsid w:val="003B3694"/>
    <w:rsid w:val="003B602B"/>
    <w:rsid w:val="003B7D18"/>
    <w:rsid w:val="003C4AF8"/>
    <w:rsid w:val="003D3B6F"/>
    <w:rsid w:val="003D4628"/>
    <w:rsid w:val="003D6772"/>
    <w:rsid w:val="003E28BA"/>
    <w:rsid w:val="003E42B4"/>
    <w:rsid w:val="003E4592"/>
    <w:rsid w:val="003F117B"/>
    <w:rsid w:val="004046BA"/>
    <w:rsid w:val="0041699A"/>
    <w:rsid w:val="0042401C"/>
    <w:rsid w:val="00425202"/>
    <w:rsid w:val="00430D19"/>
    <w:rsid w:val="004358AA"/>
    <w:rsid w:val="00436459"/>
    <w:rsid w:val="00441A93"/>
    <w:rsid w:val="00444B4E"/>
    <w:rsid w:val="00453343"/>
    <w:rsid w:val="004609D1"/>
    <w:rsid w:val="0046566B"/>
    <w:rsid w:val="00465E41"/>
    <w:rsid w:val="00480EBE"/>
    <w:rsid w:val="004851A1"/>
    <w:rsid w:val="0048579C"/>
    <w:rsid w:val="004B27C9"/>
    <w:rsid w:val="004B4414"/>
    <w:rsid w:val="004C10F7"/>
    <w:rsid w:val="004C3B66"/>
    <w:rsid w:val="004D3D82"/>
    <w:rsid w:val="004D6E14"/>
    <w:rsid w:val="004E4ACB"/>
    <w:rsid w:val="004E69A1"/>
    <w:rsid w:val="004E6A09"/>
    <w:rsid w:val="004F2982"/>
    <w:rsid w:val="004F689C"/>
    <w:rsid w:val="004F7F36"/>
    <w:rsid w:val="00501A87"/>
    <w:rsid w:val="0050278E"/>
    <w:rsid w:val="005039EF"/>
    <w:rsid w:val="00504F78"/>
    <w:rsid w:val="005121CA"/>
    <w:rsid w:val="00512A07"/>
    <w:rsid w:val="00512D52"/>
    <w:rsid w:val="00522345"/>
    <w:rsid w:val="00522A75"/>
    <w:rsid w:val="00527CBD"/>
    <w:rsid w:val="00533A6C"/>
    <w:rsid w:val="0053541A"/>
    <w:rsid w:val="0053752C"/>
    <w:rsid w:val="00540276"/>
    <w:rsid w:val="005445D4"/>
    <w:rsid w:val="0054485C"/>
    <w:rsid w:val="005502B0"/>
    <w:rsid w:val="0055415D"/>
    <w:rsid w:val="00554D79"/>
    <w:rsid w:val="0055721A"/>
    <w:rsid w:val="00565614"/>
    <w:rsid w:val="00565906"/>
    <w:rsid w:val="00565952"/>
    <w:rsid w:val="00570160"/>
    <w:rsid w:val="005723DC"/>
    <w:rsid w:val="005805F7"/>
    <w:rsid w:val="00581EA9"/>
    <w:rsid w:val="005854D7"/>
    <w:rsid w:val="00591B22"/>
    <w:rsid w:val="005A00FF"/>
    <w:rsid w:val="005E5AE0"/>
    <w:rsid w:val="005F09F0"/>
    <w:rsid w:val="006001FF"/>
    <w:rsid w:val="00600450"/>
    <w:rsid w:val="00607F91"/>
    <w:rsid w:val="00607FD5"/>
    <w:rsid w:val="00610626"/>
    <w:rsid w:val="00611A61"/>
    <w:rsid w:val="006221B9"/>
    <w:rsid w:val="00623D26"/>
    <w:rsid w:val="00624205"/>
    <w:rsid w:val="00637579"/>
    <w:rsid w:val="0064018D"/>
    <w:rsid w:val="00642A71"/>
    <w:rsid w:val="00663935"/>
    <w:rsid w:val="00664DAB"/>
    <w:rsid w:val="00667EF5"/>
    <w:rsid w:val="00671662"/>
    <w:rsid w:val="0067411A"/>
    <w:rsid w:val="00676A27"/>
    <w:rsid w:val="006775EA"/>
    <w:rsid w:val="0068149C"/>
    <w:rsid w:val="00683B96"/>
    <w:rsid w:val="006858E2"/>
    <w:rsid w:val="006904C4"/>
    <w:rsid w:val="006A2859"/>
    <w:rsid w:val="006A5691"/>
    <w:rsid w:val="006B05FC"/>
    <w:rsid w:val="006B0903"/>
    <w:rsid w:val="006B4570"/>
    <w:rsid w:val="006B52CD"/>
    <w:rsid w:val="006B702E"/>
    <w:rsid w:val="006C06E7"/>
    <w:rsid w:val="006C2AC8"/>
    <w:rsid w:val="006C4473"/>
    <w:rsid w:val="006C4B67"/>
    <w:rsid w:val="006D1FBA"/>
    <w:rsid w:val="006D27B8"/>
    <w:rsid w:val="006D3A19"/>
    <w:rsid w:val="006F1206"/>
    <w:rsid w:val="006F7960"/>
    <w:rsid w:val="007066D6"/>
    <w:rsid w:val="00721CCA"/>
    <w:rsid w:val="00726270"/>
    <w:rsid w:val="00731529"/>
    <w:rsid w:val="00734E69"/>
    <w:rsid w:val="007352E8"/>
    <w:rsid w:val="00735D70"/>
    <w:rsid w:val="00740A64"/>
    <w:rsid w:val="00742373"/>
    <w:rsid w:val="00742982"/>
    <w:rsid w:val="00743153"/>
    <w:rsid w:val="00743D7B"/>
    <w:rsid w:val="00745727"/>
    <w:rsid w:val="0076458C"/>
    <w:rsid w:val="007702D6"/>
    <w:rsid w:val="0077053D"/>
    <w:rsid w:val="00774093"/>
    <w:rsid w:val="00775510"/>
    <w:rsid w:val="007809EA"/>
    <w:rsid w:val="00780CBC"/>
    <w:rsid w:val="007949D6"/>
    <w:rsid w:val="007955DF"/>
    <w:rsid w:val="00795A66"/>
    <w:rsid w:val="007A01A7"/>
    <w:rsid w:val="007A4A26"/>
    <w:rsid w:val="007B3701"/>
    <w:rsid w:val="007D1851"/>
    <w:rsid w:val="007D1F85"/>
    <w:rsid w:val="007D4A73"/>
    <w:rsid w:val="007E00EB"/>
    <w:rsid w:val="007E19FF"/>
    <w:rsid w:val="007E66C3"/>
    <w:rsid w:val="007F061B"/>
    <w:rsid w:val="007F10EE"/>
    <w:rsid w:val="007F61E5"/>
    <w:rsid w:val="0080178F"/>
    <w:rsid w:val="0080200B"/>
    <w:rsid w:val="0080585F"/>
    <w:rsid w:val="00807460"/>
    <w:rsid w:val="00815C95"/>
    <w:rsid w:val="00824920"/>
    <w:rsid w:val="00831880"/>
    <w:rsid w:val="00834A67"/>
    <w:rsid w:val="0084301A"/>
    <w:rsid w:val="0085438E"/>
    <w:rsid w:val="00856339"/>
    <w:rsid w:val="00856EFD"/>
    <w:rsid w:val="008622B2"/>
    <w:rsid w:val="00863C4B"/>
    <w:rsid w:val="00864F20"/>
    <w:rsid w:val="0086612C"/>
    <w:rsid w:val="00872866"/>
    <w:rsid w:val="00880990"/>
    <w:rsid w:val="008833A6"/>
    <w:rsid w:val="00887237"/>
    <w:rsid w:val="008874DE"/>
    <w:rsid w:val="00890F0D"/>
    <w:rsid w:val="00891F57"/>
    <w:rsid w:val="00892053"/>
    <w:rsid w:val="0089229E"/>
    <w:rsid w:val="00893076"/>
    <w:rsid w:val="008A0902"/>
    <w:rsid w:val="008A4CC7"/>
    <w:rsid w:val="008D4606"/>
    <w:rsid w:val="008D726D"/>
    <w:rsid w:val="008E5996"/>
    <w:rsid w:val="008F4BBE"/>
    <w:rsid w:val="00906956"/>
    <w:rsid w:val="009114F6"/>
    <w:rsid w:val="00913BEA"/>
    <w:rsid w:val="00914849"/>
    <w:rsid w:val="00915891"/>
    <w:rsid w:val="009211A9"/>
    <w:rsid w:val="00922981"/>
    <w:rsid w:val="00924316"/>
    <w:rsid w:val="009335FB"/>
    <w:rsid w:val="00935F3B"/>
    <w:rsid w:val="0093759E"/>
    <w:rsid w:val="0094090A"/>
    <w:rsid w:val="00941F7B"/>
    <w:rsid w:val="00944B88"/>
    <w:rsid w:val="009477E6"/>
    <w:rsid w:val="00956318"/>
    <w:rsid w:val="0096056F"/>
    <w:rsid w:val="00962116"/>
    <w:rsid w:val="009655A0"/>
    <w:rsid w:val="00971CAC"/>
    <w:rsid w:val="00972AB9"/>
    <w:rsid w:val="00972D29"/>
    <w:rsid w:val="00972EBC"/>
    <w:rsid w:val="0097425C"/>
    <w:rsid w:val="00975598"/>
    <w:rsid w:val="009759B3"/>
    <w:rsid w:val="0099335A"/>
    <w:rsid w:val="009A7C7A"/>
    <w:rsid w:val="009B03F3"/>
    <w:rsid w:val="009B093B"/>
    <w:rsid w:val="009C1310"/>
    <w:rsid w:val="009C27C0"/>
    <w:rsid w:val="009C34FD"/>
    <w:rsid w:val="009C361E"/>
    <w:rsid w:val="009C5D3C"/>
    <w:rsid w:val="009D2037"/>
    <w:rsid w:val="009D2E2C"/>
    <w:rsid w:val="009D5DDD"/>
    <w:rsid w:val="009D6D3F"/>
    <w:rsid w:val="009D7525"/>
    <w:rsid w:val="009E1D29"/>
    <w:rsid w:val="009F0A3B"/>
    <w:rsid w:val="009F2220"/>
    <w:rsid w:val="009F2920"/>
    <w:rsid w:val="00A12EED"/>
    <w:rsid w:val="00A135D5"/>
    <w:rsid w:val="00A16B94"/>
    <w:rsid w:val="00A2114B"/>
    <w:rsid w:val="00A2260E"/>
    <w:rsid w:val="00A234C3"/>
    <w:rsid w:val="00A23CDF"/>
    <w:rsid w:val="00A25A4D"/>
    <w:rsid w:val="00A26F92"/>
    <w:rsid w:val="00A3138C"/>
    <w:rsid w:val="00A3798E"/>
    <w:rsid w:val="00A4123A"/>
    <w:rsid w:val="00A46348"/>
    <w:rsid w:val="00A56E29"/>
    <w:rsid w:val="00A61483"/>
    <w:rsid w:val="00A62330"/>
    <w:rsid w:val="00A65988"/>
    <w:rsid w:val="00A6695B"/>
    <w:rsid w:val="00A7536B"/>
    <w:rsid w:val="00A75491"/>
    <w:rsid w:val="00A81D08"/>
    <w:rsid w:val="00A8667E"/>
    <w:rsid w:val="00A90DB9"/>
    <w:rsid w:val="00A9129E"/>
    <w:rsid w:val="00A91CD4"/>
    <w:rsid w:val="00AA07B2"/>
    <w:rsid w:val="00AA27B8"/>
    <w:rsid w:val="00AA5388"/>
    <w:rsid w:val="00AA5AAD"/>
    <w:rsid w:val="00AA5FAF"/>
    <w:rsid w:val="00AA79CB"/>
    <w:rsid w:val="00AB0F1D"/>
    <w:rsid w:val="00AB166D"/>
    <w:rsid w:val="00AB34C0"/>
    <w:rsid w:val="00AC4574"/>
    <w:rsid w:val="00AC672D"/>
    <w:rsid w:val="00AD2D81"/>
    <w:rsid w:val="00AE29B3"/>
    <w:rsid w:val="00AE39AA"/>
    <w:rsid w:val="00AE514B"/>
    <w:rsid w:val="00AF5E43"/>
    <w:rsid w:val="00B00002"/>
    <w:rsid w:val="00B01D44"/>
    <w:rsid w:val="00B077ED"/>
    <w:rsid w:val="00B0781E"/>
    <w:rsid w:val="00B121C8"/>
    <w:rsid w:val="00B14F71"/>
    <w:rsid w:val="00B16686"/>
    <w:rsid w:val="00B30F7C"/>
    <w:rsid w:val="00B353DC"/>
    <w:rsid w:val="00B43186"/>
    <w:rsid w:val="00B50A46"/>
    <w:rsid w:val="00B606E1"/>
    <w:rsid w:val="00B65F0A"/>
    <w:rsid w:val="00B778F8"/>
    <w:rsid w:val="00B77D7F"/>
    <w:rsid w:val="00B80B77"/>
    <w:rsid w:val="00B811C1"/>
    <w:rsid w:val="00B82321"/>
    <w:rsid w:val="00B91BFE"/>
    <w:rsid w:val="00B92EA6"/>
    <w:rsid w:val="00B95260"/>
    <w:rsid w:val="00B971AE"/>
    <w:rsid w:val="00BA6AED"/>
    <w:rsid w:val="00BB0A3B"/>
    <w:rsid w:val="00BB3927"/>
    <w:rsid w:val="00BB468E"/>
    <w:rsid w:val="00BC672F"/>
    <w:rsid w:val="00BD051E"/>
    <w:rsid w:val="00BD5661"/>
    <w:rsid w:val="00BE2D6A"/>
    <w:rsid w:val="00BF088E"/>
    <w:rsid w:val="00BF542A"/>
    <w:rsid w:val="00BF60F0"/>
    <w:rsid w:val="00C03DD5"/>
    <w:rsid w:val="00C0669C"/>
    <w:rsid w:val="00C11088"/>
    <w:rsid w:val="00C12446"/>
    <w:rsid w:val="00C150A0"/>
    <w:rsid w:val="00C20729"/>
    <w:rsid w:val="00C2556C"/>
    <w:rsid w:val="00C302FE"/>
    <w:rsid w:val="00C306C6"/>
    <w:rsid w:val="00C3096C"/>
    <w:rsid w:val="00C447AA"/>
    <w:rsid w:val="00C46050"/>
    <w:rsid w:val="00C54D52"/>
    <w:rsid w:val="00C60F7A"/>
    <w:rsid w:val="00C626FF"/>
    <w:rsid w:val="00C634AF"/>
    <w:rsid w:val="00C66E7B"/>
    <w:rsid w:val="00C66F73"/>
    <w:rsid w:val="00C929E9"/>
    <w:rsid w:val="00C92B9E"/>
    <w:rsid w:val="00C93898"/>
    <w:rsid w:val="00C94B8E"/>
    <w:rsid w:val="00C9722F"/>
    <w:rsid w:val="00CB16F1"/>
    <w:rsid w:val="00CB41FA"/>
    <w:rsid w:val="00CB490C"/>
    <w:rsid w:val="00CC5554"/>
    <w:rsid w:val="00CD1012"/>
    <w:rsid w:val="00CE0D1F"/>
    <w:rsid w:val="00CE1BDE"/>
    <w:rsid w:val="00CE3600"/>
    <w:rsid w:val="00D00A46"/>
    <w:rsid w:val="00D03AE7"/>
    <w:rsid w:val="00D10AAB"/>
    <w:rsid w:val="00D15FDE"/>
    <w:rsid w:val="00D17876"/>
    <w:rsid w:val="00D20B3A"/>
    <w:rsid w:val="00D232C2"/>
    <w:rsid w:val="00D26450"/>
    <w:rsid w:val="00D27075"/>
    <w:rsid w:val="00D27855"/>
    <w:rsid w:val="00D3380C"/>
    <w:rsid w:val="00D36455"/>
    <w:rsid w:val="00D37D0C"/>
    <w:rsid w:val="00D41E24"/>
    <w:rsid w:val="00D452DE"/>
    <w:rsid w:val="00D60562"/>
    <w:rsid w:val="00D70473"/>
    <w:rsid w:val="00D75F27"/>
    <w:rsid w:val="00D777AF"/>
    <w:rsid w:val="00D8228F"/>
    <w:rsid w:val="00D950B8"/>
    <w:rsid w:val="00DA0170"/>
    <w:rsid w:val="00DC0EAF"/>
    <w:rsid w:val="00DC12F6"/>
    <w:rsid w:val="00DC70E1"/>
    <w:rsid w:val="00DD25DC"/>
    <w:rsid w:val="00DE05EA"/>
    <w:rsid w:val="00E00365"/>
    <w:rsid w:val="00E029B2"/>
    <w:rsid w:val="00E04326"/>
    <w:rsid w:val="00E07C46"/>
    <w:rsid w:val="00E138C6"/>
    <w:rsid w:val="00E13F50"/>
    <w:rsid w:val="00E17FC2"/>
    <w:rsid w:val="00E2085A"/>
    <w:rsid w:val="00E209B0"/>
    <w:rsid w:val="00E3117E"/>
    <w:rsid w:val="00E31360"/>
    <w:rsid w:val="00E32D32"/>
    <w:rsid w:val="00E34376"/>
    <w:rsid w:val="00E34D40"/>
    <w:rsid w:val="00E3621B"/>
    <w:rsid w:val="00E412D7"/>
    <w:rsid w:val="00E445AC"/>
    <w:rsid w:val="00E46583"/>
    <w:rsid w:val="00E50971"/>
    <w:rsid w:val="00E54639"/>
    <w:rsid w:val="00E54923"/>
    <w:rsid w:val="00E6749F"/>
    <w:rsid w:val="00E73410"/>
    <w:rsid w:val="00E73E62"/>
    <w:rsid w:val="00E74E68"/>
    <w:rsid w:val="00E77A8E"/>
    <w:rsid w:val="00E84248"/>
    <w:rsid w:val="00E90628"/>
    <w:rsid w:val="00E969D2"/>
    <w:rsid w:val="00EA07E6"/>
    <w:rsid w:val="00EB5361"/>
    <w:rsid w:val="00ED7C44"/>
    <w:rsid w:val="00EE7F46"/>
    <w:rsid w:val="00EF2575"/>
    <w:rsid w:val="00EF4387"/>
    <w:rsid w:val="00F12923"/>
    <w:rsid w:val="00F16271"/>
    <w:rsid w:val="00F17EC7"/>
    <w:rsid w:val="00F20C03"/>
    <w:rsid w:val="00F3561D"/>
    <w:rsid w:val="00F36051"/>
    <w:rsid w:val="00F43CA7"/>
    <w:rsid w:val="00F460B5"/>
    <w:rsid w:val="00F46C26"/>
    <w:rsid w:val="00F50A6B"/>
    <w:rsid w:val="00F518C4"/>
    <w:rsid w:val="00F55801"/>
    <w:rsid w:val="00F55D67"/>
    <w:rsid w:val="00F66119"/>
    <w:rsid w:val="00F710D2"/>
    <w:rsid w:val="00F71AA8"/>
    <w:rsid w:val="00F723DF"/>
    <w:rsid w:val="00F77122"/>
    <w:rsid w:val="00F77D18"/>
    <w:rsid w:val="00F80631"/>
    <w:rsid w:val="00F845A3"/>
    <w:rsid w:val="00FA6719"/>
    <w:rsid w:val="00FB54DE"/>
    <w:rsid w:val="00FC6691"/>
    <w:rsid w:val="00FC6F88"/>
    <w:rsid w:val="00FC7966"/>
    <w:rsid w:val="00FD50D3"/>
    <w:rsid w:val="00FE3A5B"/>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styleId="NormalWeb">
    <w:name w:val="Normal (Web)"/>
    <w:basedOn w:val="Normal"/>
    <w:uiPriority w:val="99"/>
    <w:unhideWhenUsed/>
    <w:rsid w:val="00C150A0"/>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fma.govt.nz/assets/Research/Understanding-Artificial-Intelligence-in-Financial-Service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fma.govt.nz/assets/Information-sheets/Developing-cyber-resilience-for-financial-advice-providers.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ma.govt.nz/assets/Reports/CustomerVulnerability-ourexpectationsforprovider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financialadvicecode.govt.nz/wp-content/uploads/2021/03/codeofprofessionalconduct-march2021.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qualifications@ringahora.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EA469FA8-6DD5-49E7-AA46-CC0E2356D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6</cp:revision>
  <cp:lastPrinted>2023-05-01T02:03:00Z</cp:lastPrinted>
  <dcterms:created xsi:type="dcterms:W3CDTF">2025-01-17T01:00:00Z</dcterms:created>
  <dcterms:modified xsi:type="dcterms:W3CDTF">2025-01-21T23:49:00Z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