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0092548A" w:rsidR="007066D6" w:rsidRDefault="00220C4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8060" w:type="dxa"/>
          </w:tcPr>
          <w:p w14:paraId="512FDC1E" w14:textId="2CE075B3" w:rsidR="007066D6" w:rsidRPr="004D6E14" w:rsidRDefault="00DA61C5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F043AF">
              <w:rPr>
                <w:rFonts w:ascii="Arial" w:hAnsi="Arial" w:cs="Arial"/>
                <w:b/>
                <w:bCs/>
                <w:color w:val="auto"/>
              </w:rPr>
              <w:t xml:space="preserve">stablish </w:t>
            </w:r>
            <w:r w:rsidR="00DB0D37">
              <w:rPr>
                <w:rFonts w:ascii="Arial" w:hAnsi="Arial" w:cs="Arial"/>
                <w:b/>
                <w:bCs/>
                <w:color w:val="auto"/>
              </w:rPr>
              <w:t>borrowing</w:t>
            </w:r>
            <w:r w:rsidR="00F043AF">
              <w:rPr>
                <w:rFonts w:ascii="Arial" w:hAnsi="Arial" w:cs="Arial"/>
                <w:b/>
                <w:bCs/>
                <w:color w:val="auto"/>
              </w:rPr>
              <w:t xml:space="preserve"> needs </w:t>
            </w:r>
            <w:r w:rsidR="00E97F36">
              <w:rPr>
                <w:rFonts w:ascii="Arial" w:hAnsi="Arial" w:cs="Arial"/>
                <w:b/>
                <w:bCs/>
                <w:color w:val="auto"/>
              </w:rPr>
              <w:t xml:space="preserve">and apply process to implement and monitor recommendations </w:t>
            </w:r>
            <w:r w:rsidR="00631A17">
              <w:rPr>
                <w:rFonts w:ascii="Arial" w:hAnsi="Arial" w:cs="Arial"/>
                <w:b/>
                <w:bCs/>
                <w:color w:val="auto"/>
              </w:rPr>
              <w:t xml:space="preserve">for lending services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6E4ED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94ED3EA" w:rsidR="004D6E14" w:rsidRPr="00676A27" w:rsidRDefault="00F043A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6E4ED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9D65409" w:rsidR="004D6E14" w:rsidRPr="00676A27" w:rsidRDefault="00241DA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3B7D18" w:rsidRPr="004D6E14" w14:paraId="49BD60D9" w14:textId="77777777" w:rsidTr="006E4ED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F20" w14:textId="1AE17674" w:rsidR="00526479" w:rsidRDefault="00526479" w:rsidP="005264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B06FE9">
              <w:rPr>
                <w:rFonts w:ascii="Arial" w:hAnsi="Arial" w:cs="Arial"/>
                <w:sz w:val="22"/>
                <w:szCs w:val="22"/>
              </w:rPr>
              <w:t>lending</w:t>
            </w:r>
            <w:r w:rsidR="006E0E38">
              <w:rPr>
                <w:rFonts w:ascii="Arial" w:hAnsi="Arial" w:cs="Arial"/>
                <w:sz w:val="22"/>
                <w:szCs w:val="22"/>
              </w:rPr>
              <w:t xml:space="preserve"> advice</w:t>
            </w:r>
            <w:r w:rsidR="00B06FE9">
              <w:rPr>
                <w:rFonts w:ascii="Arial" w:hAnsi="Arial" w:cs="Arial"/>
                <w:sz w:val="22"/>
                <w:szCs w:val="22"/>
              </w:rPr>
              <w:t xml:space="preserve"> services. </w:t>
            </w:r>
          </w:p>
          <w:p w14:paraId="362F9A0A" w14:textId="2200FE66" w:rsidR="00526479" w:rsidRDefault="00526479" w:rsidP="005264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014100">
              <w:rPr>
                <w:rFonts w:ascii="Arial" w:hAnsi="Arial" w:cs="Arial"/>
                <w:sz w:val="22"/>
                <w:szCs w:val="22"/>
              </w:rPr>
              <w:t xml:space="preserve">establish </w:t>
            </w:r>
            <w:r w:rsidR="00DB0D37">
              <w:rPr>
                <w:rFonts w:ascii="Arial" w:hAnsi="Arial" w:cs="Arial"/>
                <w:sz w:val="22"/>
                <w:szCs w:val="22"/>
              </w:rPr>
              <w:t>borrowing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014100">
              <w:rPr>
                <w:rFonts w:ascii="Arial" w:hAnsi="Arial" w:cs="Arial"/>
                <w:sz w:val="22"/>
                <w:szCs w:val="22"/>
              </w:rPr>
              <w:t xml:space="preserve"> and apply process to implement and monitor recommendations for</w:t>
            </w:r>
            <w:r w:rsidR="00BF1C0F">
              <w:rPr>
                <w:rFonts w:ascii="Arial" w:hAnsi="Arial" w:cs="Arial"/>
                <w:sz w:val="22"/>
                <w:szCs w:val="22"/>
              </w:rPr>
              <w:t xml:space="preserve"> lending </w:t>
            </w:r>
            <w:r w:rsidR="00B06FE9">
              <w:rPr>
                <w:rFonts w:ascii="Arial" w:hAnsi="Arial" w:cs="Arial"/>
                <w:sz w:val="22"/>
                <w:szCs w:val="22"/>
              </w:rPr>
              <w:t>services</w:t>
            </w:r>
            <w:r w:rsidR="00014100">
              <w:rPr>
                <w:rFonts w:ascii="Arial" w:hAnsi="Arial" w:cs="Arial"/>
                <w:sz w:val="22"/>
                <w:szCs w:val="22"/>
              </w:rPr>
              <w:t>.</w:t>
            </w:r>
            <w:r w:rsidR="00B06FE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26E3A3F" w14:textId="36E67A1D" w:rsidR="00B077ED" w:rsidRPr="00676A27" w:rsidRDefault="00526479" w:rsidP="005264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631A1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631A17">
              <w:rPr>
                <w:rFonts w:ascii="Arial" w:hAnsi="Arial" w:cs="Arial"/>
                <w:sz w:val="22"/>
                <w:szCs w:val="22"/>
              </w:rPr>
              <w:t xml:space="preserve"> Personal, </w:t>
            </w:r>
            <w:r>
              <w:rPr>
                <w:rFonts w:ascii="Arial" w:hAnsi="Arial" w:cs="Arial"/>
                <w:sz w:val="22"/>
                <w:szCs w:val="22"/>
              </w:rPr>
              <w:t>Residential Property Lending</w:t>
            </w:r>
            <w:r w:rsidR="00BF1C0F">
              <w:rPr>
                <w:rFonts w:ascii="Arial" w:hAnsi="Arial" w:cs="Arial"/>
                <w:sz w:val="22"/>
                <w:szCs w:val="22"/>
              </w:rPr>
              <w:t>, and Banking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0C20DE" w14:paraId="5A2F1783" w14:textId="77777777" w:rsidTr="000B3A3F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27878B0E" w14:textId="77777777" w:rsidR="000C20DE" w:rsidRDefault="000C20DE" w:rsidP="00241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25C33">
              <w:rPr>
                <w:rFonts w:ascii="Arial" w:hAnsi="Arial" w:cs="Arial"/>
                <w:sz w:val="22"/>
                <w:szCs w:val="22"/>
              </w:rPr>
              <w:t>evelop a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25C33">
              <w:rPr>
                <w:rFonts w:ascii="Arial" w:hAnsi="Arial" w:cs="Arial"/>
                <w:sz w:val="22"/>
                <w:szCs w:val="22"/>
              </w:rPr>
              <w:t>understanding of 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’s situation. </w:t>
            </w:r>
          </w:p>
          <w:p w14:paraId="09B27B11" w14:textId="77777777" w:rsidR="000C20DE" w:rsidRDefault="000C20DE" w:rsidP="002D049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F27F001" w14:textId="3148BDDC" w:rsidR="000C20DE" w:rsidRDefault="000C20DE" w:rsidP="00241D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Consult and guide the client through the process </w:t>
            </w:r>
            <w:r w:rsidR="0049417A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obtaining information of the individual.</w:t>
            </w:r>
          </w:p>
        </w:tc>
      </w:tr>
      <w:tr w:rsidR="000C20DE" w14:paraId="3D9920CC" w14:textId="77777777" w:rsidTr="000B3A3F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44B9BF8F" w:rsidR="000C20DE" w:rsidRPr="00222548" w:rsidRDefault="000C20DE" w:rsidP="002D0494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2EC9A00" w:rsidR="000C20DE" w:rsidRPr="00444B4E" w:rsidRDefault="000C20DE" w:rsidP="00241D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Collect information about a client’s circumstances and financial situation that would impact borrowing needs and determine client borrowing needs. </w:t>
            </w:r>
          </w:p>
        </w:tc>
      </w:tr>
      <w:tr w:rsidR="000C20DE" w14:paraId="032DD221" w14:textId="77777777" w:rsidTr="000B3A3F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0C20DE" w:rsidRPr="00222548" w:rsidRDefault="000C20DE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56F9F2B" w:rsidR="000C20DE" w:rsidRPr="00444B4E" w:rsidRDefault="000C20DE" w:rsidP="00241D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determine risk tolerance</w:t>
            </w:r>
            <w:r w:rsidR="005D442B">
              <w:rPr>
                <w:rFonts w:ascii="Arial" w:hAnsi="Arial" w:cs="Arial"/>
                <w:sz w:val="22"/>
                <w:szCs w:val="22"/>
              </w:rPr>
              <w:t xml:space="preserve"> and risk capacity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client.</w:t>
            </w:r>
          </w:p>
        </w:tc>
      </w:tr>
      <w:tr w:rsidR="000C20DE" w14:paraId="4E80DD8E" w14:textId="77777777" w:rsidTr="000B3A3F">
        <w:trPr>
          <w:cantSplit/>
          <w:trHeight w:val="276"/>
          <w:tblHeader/>
        </w:trPr>
        <w:tc>
          <w:tcPr>
            <w:tcW w:w="4627" w:type="dxa"/>
            <w:vMerge/>
          </w:tcPr>
          <w:p w14:paraId="4F0B5C3D" w14:textId="77777777" w:rsidR="000C20DE" w:rsidRPr="00222548" w:rsidRDefault="000C20DE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6D1" w14:textId="42612AF3" w:rsidR="000C20DE" w:rsidRDefault="000C20DE" w:rsidP="00241DA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gaps in information collected from the client that is necessary for borrowing and obtain</w:t>
            </w:r>
            <w:r w:rsidR="0049417A">
              <w:rPr>
                <w:rFonts w:ascii="Arial" w:hAnsi="Arial" w:cs="Arial"/>
                <w:sz w:val="22"/>
                <w:szCs w:val="22"/>
              </w:rPr>
              <w:t xml:space="preserve"> any</w:t>
            </w:r>
            <w:r>
              <w:rPr>
                <w:rFonts w:ascii="Arial" w:hAnsi="Arial" w:cs="Arial"/>
                <w:sz w:val="22"/>
                <w:szCs w:val="22"/>
              </w:rPr>
              <w:t xml:space="preserve"> further information.  </w:t>
            </w:r>
          </w:p>
        </w:tc>
      </w:tr>
    </w:tbl>
    <w:p w14:paraId="3F34D459" w14:textId="77777777" w:rsidR="008A610C" w:rsidRDefault="008A610C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4F29B907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4F96AE3" w14:textId="24B97A94" w:rsidR="00B077ED" w:rsidRPr="00222548" w:rsidRDefault="00E13167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Analyse client information </w:t>
            </w:r>
            <w:r w:rsidR="00AF51EC">
              <w:rPr>
                <w:rFonts w:ascii="Arial" w:hAnsi="Arial" w:cs="Arial"/>
                <w:sz w:val="22"/>
                <w:szCs w:val="22"/>
              </w:rPr>
              <w:t xml:space="preserve">and circumstances </w:t>
            </w:r>
            <w:r>
              <w:rPr>
                <w:rFonts w:ascii="Arial" w:hAnsi="Arial" w:cs="Arial"/>
                <w:sz w:val="22"/>
                <w:szCs w:val="22"/>
              </w:rPr>
              <w:t xml:space="preserve">to determine potential impacts on borrowing needs.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AA0527C" w:rsidR="00B077ED" w:rsidRPr="00444B4E" w:rsidRDefault="00281E1F" w:rsidP="00241DA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81E1F">
              <w:rPr>
                <w:rFonts w:ascii="Arial" w:hAnsi="Arial" w:cs="Arial"/>
                <w:sz w:val="22"/>
                <w:szCs w:val="22"/>
              </w:rPr>
              <w:t>Analyse client</w:t>
            </w:r>
            <w:r w:rsidR="00215E81">
              <w:rPr>
                <w:rFonts w:ascii="Arial" w:hAnsi="Arial" w:cs="Arial"/>
                <w:sz w:val="22"/>
                <w:szCs w:val="22"/>
              </w:rPr>
              <w:t>’s</w:t>
            </w:r>
            <w:r w:rsidRPr="00281E1F">
              <w:rPr>
                <w:rFonts w:ascii="Arial" w:hAnsi="Arial" w:cs="Arial"/>
                <w:sz w:val="22"/>
                <w:szCs w:val="22"/>
              </w:rPr>
              <w:t xml:space="preserve"> information to determine the potential impact of events on the client</w:t>
            </w:r>
            <w:r w:rsidR="00215E81">
              <w:rPr>
                <w:rFonts w:ascii="Arial" w:hAnsi="Arial" w:cs="Arial"/>
                <w:sz w:val="22"/>
                <w:szCs w:val="22"/>
              </w:rPr>
              <w:t>’s</w:t>
            </w:r>
            <w:r w:rsidRPr="00281E1F">
              <w:rPr>
                <w:rFonts w:ascii="Arial" w:hAnsi="Arial" w:cs="Arial"/>
                <w:sz w:val="22"/>
                <w:szCs w:val="22"/>
              </w:rPr>
              <w:t xml:space="preserve"> financial situation.</w:t>
            </w:r>
          </w:p>
        </w:tc>
      </w:tr>
      <w:tr w:rsidR="00916B41" w14:paraId="3A78F5C8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5F8974C1" w14:textId="77777777" w:rsidR="00916B41" w:rsidRDefault="00916B41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75106A7" w14:textId="3966ECCA" w:rsidR="00916B41" w:rsidRPr="00916B41" w:rsidRDefault="00916B41" w:rsidP="00241D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16B41">
              <w:rPr>
                <w:rFonts w:ascii="Arial" w:hAnsi="Arial" w:cs="Arial"/>
                <w:sz w:val="22"/>
                <w:szCs w:val="22"/>
              </w:rPr>
              <w:t>Analyse client circumstances to determine their potential impact on</w:t>
            </w:r>
            <w:r w:rsidR="00215E81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916B41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215E81">
              <w:rPr>
                <w:rFonts w:ascii="Arial" w:hAnsi="Arial" w:cs="Arial"/>
                <w:sz w:val="22"/>
                <w:szCs w:val="22"/>
              </w:rPr>
              <w:t>’s</w:t>
            </w:r>
            <w:r w:rsidRPr="00916B41">
              <w:rPr>
                <w:rFonts w:ascii="Arial" w:hAnsi="Arial" w:cs="Arial"/>
                <w:sz w:val="22"/>
                <w:szCs w:val="22"/>
              </w:rPr>
              <w:t xml:space="preserve"> borrowing needs.</w:t>
            </w:r>
          </w:p>
        </w:tc>
      </w:tr>
      <w:tr w:rsidR="006F1206" w14:paraId="62B290B2" w14:textId="77777777" w:rsidTr="00FC49FB">
        <w:trPr>
          <w:cantSplit/>
          <w:trHeight w:val="704"/>
          <w:tblHeader/>
        </w:trPr>
        <w:tc>
          <w:tcPr>
            <w:tcW w:w="4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C1F95" w14:textId="77777777" w:rsidR="00B077ED" w:rsidRPr="00222548" w:rsidRDefault="00B077ED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5600D42C" w:rsidR="00B077ED" w:rsidRPr="00444B4E" w:rsidRDefault="00AF51EC" w:rsidP="00241DA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client information to determine need for consultation for further assistance with other specialists.</w:t>
            </w:r>
          </w:p>
        </w:tc>
      </w:tr>
      <w:tr w:rsidR="00241DA3" w14:paraId="7E9CD36F" w14:textId="77777777" w:rsidTr="00241DA3">
        <w:trPr>
          <w:cantSplit/>
          <w:trHeight w:val="533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292A96B2" w14:textId="51C1DB90" w:rsidR="00241DA3" w:rsidRPr="00222548" w:rsidRDefault="00241DA3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process to implement and monitor recommendations with client. 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1E3E388" w14:textId="49DCA088" w:rsidR="00241DA3" w:rsidRPr="00072FBD" w:rsidRDefault="00241DA3" w:rsidP="007E0DDC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Pr="00072FBD">
              <w:rPr>
                <w:rFonts w:ascii="Arial" w:hAnsi="Arial" w:cs="Arial"/>
                <w:sz w:val="22"/>
                <w:szCs w:val="22"/>
              </w:rPr>
              <w:t xml:space="preserve"> Present </w:t>
            </w:r>
            <w:r>
              <w:rPr>
                <w:rFonts w:ascii="Arial" w:hAnsi="Arial" w:cs="Arial"/>
                <w:sz w:val="22"/>
                <w:szCs w:val="22"/>
              </w:rPr>
              <w:t xml:space="preserve">lending recommendations </w:t>
            </w:r>
            <w:r w:rsidRPr="00072FBD">
              <w:rPr>
                <w:rFonts w:ascii="Arial" w:hAnsi="Arial" w:cs="Arial"/>
                <w:sz w:val="22"/>
                <w:szCs w:val="22"/>
              </w:rPr>
              <w:t xml:space="preserve">to client. </w:t>
            </w:r>
          </w:p>
        </w:tc>
      </w:tr>
      <w:tr w:rsidR="00241DA3" w14:paraId="36B000EE" w14:textId="77777777" w:rsidTr="00D40164">
        <w:trPr>
          <w:cantSplit/>
          <w:trHeight w:val="704"/>
          <w:tblHeader/>
        </w:trPr>
        <w:tc>
          <w:tcPr>
            <w:tcW w:w="4627" w:type="dxa"/>
            <w:vMerge/>
          </w:tcPr>
          <w:p w14:paraId="723F72BE" w14:textId="77777777" w:rsidR="00241DA3" w:rsidRPr="00222548" w:rsidRDefault="00241DA3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721CC87" w14:textId="30075388" w:rsidR="00241DA3" w:rsidRPr="00072FBD" w:rsidRDefault="00241DA3" w:rsidP="0044335B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072FBD">
              <w:rPr>
                <w:rFonts w:ascii="Arial" w:hAnsi="Arial" w:cs="Arial"/>
                <w:sz w:val="22"/>
                <w:szCs w:val="22"/>
              </w:rPr>
              <w:t xml:space="preserve">) Implement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lending </w:t>
            </w:r>
            <w:r w:rsidRPr="00072FBD">
              <w:rPr>
                <w:rFonts w:ascii="Arial" w:hAnsi="Arial" w:cs="Arial"/>
                <w:sz w:val="22"/>
                <w:szCs w:val="22"/>
              </w:rPr>
              <w:t xml:space="preserve">recommendations. </w:t>
            </w:r>
          </w:p>
        </w:tc>
      </w:tr>
      <w:tr w:rsidR="00241DA3" w14:paraId="314C3E3F" w14:textId="77777777" w:rsidTr="00241DA3">
        <w:trPr>
          <w:cantSplit/>
          <w:trHeight w:val="704"/>
          <w:tblHeader/>
        </w:trPr>
        <w:tc>
          <w:tcPr>
            <w:tcW w:w="4627" w:type="dxa"/>
            <w:vMerge/>
          </w:tcPr>
          <w:p w14:paraId="1920728B" w14:textId="77777777" w:rsidR="00241DA3" w:rsidRPr="00222548" w:rsidRDefault="00241DA3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CD70E4C" w14:textId="241C55E2" w:rsidR="00241DA3" w:rsidRPr="00072FBD" w:rsidRDefault="00241DA3" w:rsidP="00A730F8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72FBD">
              <w:rPr>
                <w:rFonts w:ascii="Arial" w:hAnsi="Arial" w:cs="Arial"/>
                <w:sz w:val="22"/>
                <w:szCs w:val="22"/>
              </w:rPr>
              <w:t xml:space="preserve">) Monitor and review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lending recommendations. </w:t>
            </w:r>
          </w:p>
        </w:tc>
      </w:tr>
      <w:tr w:rsidR="00241DA3" w14:paraId="753EDEAC" w14:textId="77777777" w:rsidTr="00D40164">
        <w:trPr>
          <w:cantSplit/>
          <w:trHeight w:val="704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13428A13" w14:textId="77777777" w:rsidR="00241DA3" w:rsidRPr="00222548" w:rsidRDefault="00241DA3" w:rsidP="00241D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B7B8F1" w14:textId="57AA8C36" w:rsidR="00241DA3" w:rsidRDefault="00241DA3" w:rsidP="00A730F8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Pr="00072FBD">
              <w:rPr>
                <w:rFonts w:ascii="Arial" w:hAnsi="Arial" w:cs="Arial"/>
                <w:sz w:val="22"/>
                <w:szCs w:val="22"/>
              </w:rPr>
              <w:t>Record client information, interactions, analysis, and recommendations.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1802356" w14:textId="77777777" w:rsidR="00F12F70" w:rsidRDefault="00F12F70" w:rsidP="00F12F70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D8822B" w14:textId="77777777" w:rsidR="00F12F70" w:rsidRDefault="00F12F70" w:rsidP="00F12F7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7C0682FC" w14:textId="77777777" w:rsidR="00F12F70" w:rsidRPr="004C55EC" w:rsidRDefault="00F12F70" w:rsidP="00F12F7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71CE35" w14:textId="77777777" w:rsidR="00F12F70" w:rsidRDefault="00F12F70" w:rsidP="00F12F70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76009015" w14:textId="5BDB9283" w:rsidR="00F12F70" w:rsidRDefault="00F12F70" w:rsidP="00F12F7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</w:t>
      </w:r>
      <w:r w:rsidR="007B29C1">
        <w:rPr>
          <w:rFonts w:ascii="Arial" w:hAnsi="Arial" w:cs="Arial"/>
          <w:sz w:val="22"/>
          <w:szCs w:val="22"/>
        </w:rPr>
        <w:t xml:space="preserve">Clients may </w:t>
      </w:r>
      <w:r w:rsidR="005B2437">
        <w:rPr>
          <w:rFonts w:ascii="Arial" w:hAnsi="Arial" w:cs="Arial"/>
          <w:sz w:val="22"/>
          <w:szCs w:val="22"/>
        </w:rPr>
        <w:t>include</w:t>
      </w:r>
      <w:r w:rsidR="007B29C1">
        <w:rPr>
          <w:rFonts w:ascii="Arial" w:hAnsi="Arial" w:cs="Arial"/>
          <w:sz w:val="22"/>
          <w:szCs w:val="22"/>
        </w:rPr>
        <w:t xml:space="preserve"> </w:t>
      </w:r>
      <w:r w:rsidR="00FB634C">
        <w:rPr>
          <w:rFonts w:ascii="Arial" w:hAnsi="Arial" w:cs="Arial"/>
          <w:sz w:val="22"/>
          <w:szCs w:val="22"/>
        </w:rPr>
        <w:t>Trust, individual, fam</w:t>
      </w:r>
      <w:r w:rsidR="00BF1D93">
        <w:rPr>
          <w:rFonts w:ascii="Arial" w:hAnsi="Arial" w:cs="Arial"/>
          <w:sz w:val="22"/>
          <w:szCs w:val="22"/>
        </w:rPr>
        <w:t>ily, joint</w:t>
      </w:r>
      <w:r w:rsidR="009722CE">
        <w:rPr>
          <w:rFonts w:ascii="Arial" w:hAnsi="Arial" w:cs="Arial"/>
          <w:sz w:val="22"/>
          <w:szCs w:val="22"/>
        </w:rPr>
        <w:t>.</w:t>
      </w:r>
      <w:r w:rsidR="00BF1D93">
        <w:rPr>
          <w:rFonts w:ascii="Arial" w:hAnsi="Arial" w:cs="Arial"/>
          <w:sz w:val="22"/>
          <w:szCs w:val="22"/>
        </w:rPr>
        <w:t xml:space="preserve"> </w:t>
      </w:r>
      <w:r w:rsidR="009722CE">
        <w:rPr>
          <w:rFonts w:ascii="Arial" w:hAnsi="Arial" w:cs="Arial"/>
          <w:sz w:val="22"/>
          <w:szCs w:val="22"/>
        </w:rPr>
        <w:t xml:space="preserve"> </w:t>
      </w:r>
    </w:p>
    <w:p w14:paraId="0CCF92F5" w14:textId="77777777" w:rsidR="001A2C54" w:rsidRPr="00836D34" w:rsidRDefault="001A2C54" w:rsidP="001A2C54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24D53E" w14:textId="553E1931" w:rsidR="00216F02" w:rsidRDefault="00216F02" w:rsidP="00216F0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362D4">
        <w:rPr>
          <w:rFonts w:ascii="Arial" w:hAnsi="Arial" w:cs="Arial"/>
          <w:sz w:val="22"/>
          <w:szCs w:val="22"/>
        </w:rPr>
        <w:t xml:space="preserve">vidence of three </w:t>
      </w:r>
      <w:r>
        <w:rPr>
          <w:rFonts w:ascii="Arial" w:hAnsi="Arial" w:cs="Arial"/>
          <w:sz w:val="22"/>
          <w:szCs w:val="22"/>
        </w:rPr>
        <w:t xml:space="preserve">client </w:t>
      </w:r>
      <w:r w:rsidRPr="00E362D4">
        <w:rPr>
          <w:rFonts w:ascii="Arial" w:hAnsi="Arial" w:cs="Arial"/>
          <w:sz w:val="22"/>
          <w:szCs w:val="22"/>
        </w:rPr>
        <w:t>examples with a range of needs and complexities is required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20EB80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144FD61" w14:textId="5ED6D1FA" w:rsidR="00311911" w:rsidRDefault="00311911" w:rsidP="0031191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Client’s </w:t>
      </w:r>
      <w:r w:rsidR="00462050">
        <w:rPr>
          <w:rFonts w:ascii="Arial" w:hAnsi="Arial" w:cs="Arial"/>
          <w:color w:val="000000" w:themeColor="text1"/>
          <w:sz w:val="22"/>
          <w:szCs w:val="22"/>
        </w:rPr>
        <w:t xml:space="preserve">information 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circumstances </w:t>
      </w:r>
    </w:p>
    <w:p w14:paraId="6B199B03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04A1C">
        <w:rPr>
          <w:rFonts w:ascii="Arial" w:hAnsi="Arial" w:cs="Arial"/>
          <w:sz w:val="22"/>
          <w:szCs w:val="22"/>
        </w:rPr>
        <w:t xml:space="preserve">relationship status, family structure </w:t>
      </w:r>
    </w:p>
    <w:p w14:paraId="505CB807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age </w:t>
      </w:r>
    </w:p>
    <w:p w14:paraId="100CBACA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dependents </w:t>
      </w:r>
    </w:p>
    <w:p w14:paraId="204E8712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occupation/s </w:t>
      </w:r>
    </w:p>
    <w:p w14:paraId="7FA079C7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employment status (employed/self-employed) </w:t>
      </w:r>
    </w:p>
    <w:p w14:paraId="05FEF0E1" w14:textId="45BA2C3D" w:rsidR="004D6146" w:rsidRDefault="004D6146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expenses to income </w:t>
      </w:r>
    </w:p>
    <w:p w14:paraId="4A67A24C" w14:textId="77777777" w:rsidR="005425EF" w:rsidRDefault="005425EF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assets</w:t>
      </w:r>
    </w:p>
    <w:p w14:paraId="4C052EEA" w14:textId="323AA704" w:rsidR="00D70D7D" w:rsidRPr="00D66B82" w:rsidRDefault="00D70D7D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income </w:t>
      </w:r>
    </w:p>
    <w:p w14:paraId="386FBA13" w14:textId="77777777" w:rsidR="00980871" w:rsidRPr="00980871" w:rsidRDefault="00D66B82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 of deposit</w:t>
      </w:r>
    </w:p>
    <w:p w14:paraId="4F87DBD9" w14:textId="29393563" w:rsidR="00D66B82" w:rsidRPr="005425EF" w:rsidRDefault="00980871" w:rsidP="00695876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credit check. </w:t>
      </w:r>
    </w:p>
    <w:p w14:paraId="51919608" w14:textId="590BF5E3" w:rsidR="007C1259" w:rsidRDefault="000E51B5" w:rsidP="000E51B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Risk tolerance </w:t>
      </w:r>
    </w:p>
    <w:p w14:paraId="799F78C6" w14:textId="6A3461FA" w:rsidR="000E51B5" w:rsidRPr="000A4DFD" w:rsidRDefault="00695876" w:rsidP="00695876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0E51B5" w:rsidRPr="000A4DFD">
        <w:rPr>
          <w:rFonts w:ascii="Arial" w:hAnsi="Arial" w:cs="Arial"/>
          <w:sz w:val="22"/>
          <w:szCs w:val="22"/>
        </w:rPr>
        <w:t>uestions to de</w:t>
      </w:r>
      <w:r w:rsidR="000A4DFD" w:rsidRPr="000A4DFD">
        <w:rPr>
          <w:rFonts w:ascii="Arial" w:hAnsi="Arial" w:cs="Arial"/>
          <w:sz w:val="22"/>
          <w:szCs w:val="22"/>
        </w:rPr>
        <w:t xml:space="preserve">termine risk tolerance </w:t>
      </w:r>
    </w:p>
    <w:p w14:paraId="3385C12E" w14:textId="62D954C1" w:rsidR="000A4DFD" w:rsidRDefault="00695876" w:rsidP="00695876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A4DFD" w:rsidRPr="000A4DFD">
        <w:rPr>
          <w:rFonts w:ascii="Arial" w:hAnsi="Arial" w:cs="Arial"/>
          <w:sz w:val="22"/>
          <w:szCs w:val="22"/>
        </w:rPr>
        <w:t xml:space="preserve">cenario based questioning </w:t>
      </w:r>
    </w:p>
    <w:p w14:paraId="31092489" w14:textId="482A4E33" w:rsidR="00BD251D" w:rsidRDefault="005C08EF" w:rsidP="00B5102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3281F">
        <w:rPr>
          <w:rFonts w:ascii="Arial" w:hAnsi="Arial" w:cs="Arial"/>
          <w:sz w:val="22"/>
          <w:szCs w:val="22"/>
        </w:rPr>
        <w:t>vents</w:t>
      </w:r>
      <w:r w:rsidR="00B5102B">
        <w:rPr>
          <w:rFonts w:ascii="Arial" w:hAnsi="Arial" w:cs="Arial"/>
          <w:sz w:val="22"/>
          <w:szCs w:val="22"/>
        </w:rPr>
        <w:t xml:space="preserve"> that may impact on a client’s financial situation</w:t>
      </w:r>
      <w:r w:rsidR="0013281F">
        <w:rPr>
          <w:rFonts w:ascii="Arial" w:hAnsi="Arial" w:cs="Arial"/>
          <w:sz w:val="22"/>
          <w:szCs w:val="22"/>
        </w:rPr>
        <w:t xml:space="preserve"> </w:t>
      </w:r>
    </w:p>
    <w:p w14:paraId="5D55EFAF" w14:textId="77777777" w:rsidR="00BD251D" w:rsidRPr="00BD251D" w:rsidRDefault="00B5102B" w:rsidP="00695876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D251D">
        <w:rPr>
          <w:rFonts w:ascii="Arial" w:hAnsi="Arial" w:cs="Arial"/>
          <w:sz w:val="22"/>
          <w:szCs w:val="22"/>
        </w:rPr>
        <w:t>changes to financial markets</w:t>
      </w:r>
    </w:p>
    <w:p w14:paraId="39EB6D97" w14:textId="08E1E68A" w:rsidR="00B5102B" w:rsidRPr="00BD251D" w:rsidRDefault="00B5102B" w:rsidP="00695876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D251D">
        <w:rPr>
          <w:rFonts w:ascii="Arial" w:hAnsi="Arial" w:cs="Arial"/>
          <w:sz w:val="22"/>
          <w:szCs w:val="22"/>
        </w:rPr>
        <w:t>changes to the economic environment.</w:t>
      </w:r>
      <w:r w:rsidR="00BD251D" w:rsidRPr="00BD251D">
        <w:rPr>
          <w:rFonts w:ascii="Arial" w:hAnsi="Arial" w:cs="Arial"/>
          <w:sz w:val="22"/>
          <w:szCs w:val="22"/>
        </w:rPr>
        <w:t xml:space="preserve"> </w:t>
      </w:r>
    </w:p>
    <w:p w14:paraId="0B9CC8D0" w14:textId="585D81D6" w:rsidR="00BD251D" w:rsidRDefault="00BD251D" w:rsidP="00BD251D">
      <w:pPr>
        <w:tabs>
          <w:tab w:val="left" w:pos="1134"/>
          <w:tab w:val="left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E60C5">
        <w:rPr>
          <w:rFonts w:ascii="Arial" w:hAnsi="Arial" w:cs="Arial"/>
          <w:sz w:val="22"/>
          <w:szCs w:val="22"/>
        </w:rPr>
        <w:t xml:space="preserve">mpacts </w:t>
      </w:r>
      <w:r>
        <w:rPr>
          <w:rFonts w:ascii="Arial" w:hAnsi="Arial" w:cs="Arial"/>
          <w:sz w:val="22"/>
          <w:szCs w:val="22"/>
        </w:rPr>
        <w:t xml:space="preserve">of events on a client’s financial situation </w:t>
      </w:r>
    </w:p>
    <w:p w14:paraId="3D2D67B4" w14:textId="05196EAD" w:rsidR="00BD251D" w:rsidRPr="00BD251D" w:rsidRDefault="00BD251D" w:rsidP="00695876">
      <w:pPr>
        <w:pStyle w:val="ListParagraph"/>
        <w:numPr>
          <w:ilvl w:val="0"/>
          <w:numId w:val="10"/>
        </w:numPr>
        <w:tabs>
          <w:tab w:val="left" w:pos="709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BD251D">
        <w:rPr>
          <w:rFonts w:ascii="Arial" w:hAnsi="Arial" w:cs="Arial"/>
          <w:sz w:val="22"/>
          <w:szCs w:val="22"/>
        </w:rPr>
        <w:t>values of assets</w:t>
      </w:r>
    </w:p>
    <w:p w14:paraId="48AFCDAF" w14:textId="006A3254" w:rsidR="00BD251D" w:rsidRPr="00BD251D" w:rsidRDefault="00BD251D" w:rsidP="00695876">
      <w:pPr>
        <w:pStyle w:val="ListParagraph"/>
        <w:numPr>
          <w:ilvl w:val="0"/>
          <w:numId w:val="9"/>
        </w:numPr>
        <w:tabs>
          <w:tab w:val="left" w:pos="709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BD251D">
        <w:rPr>
          <w:rFonts w:ascii="Arial" w:hAnsi="Arial" w:cs="Arial"/>
          <w:sz w:val="22"/>
          <w:szCs w:val="22"/>
        </w:rPr>
        <w:t>earning capacity</w:t>
      </w:r>
    </w:p>
    <w:p w14:paraId="63EEC741" w14:textId="473E156A" w:rsidR="00BD251D" w:rsidRDefault="00BD251D" w:rsidP="00695876">
      <w:pPr>
        <w:pStyle w:val="ListParagraph"/>
        <w:numPr>
          <w:ilvl w:val="0"/>
          <w:numId w:val="9"/>
        </w:numPr>
        <w:tabs>
          <w:tab w:val="left" w:pos="709"/>
          <w:tab w:val="left" w:pos="2551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D251D">
        <w:rPr>
          <w:rFonts w:ascii="Arial" w:hAnsi="Arial" w:cs="Arial"/>
          <w:sz w:val="22"/>
          <w:szCs w:val="22"/>
        </w:rPr>
        <w:t>net worth</w:t>
      </w:r>
      <w:r w:rsidR="00695876">
        <w:rPr>
          <w:rFonts w:ascii="Arial" w:hAnsi="Arial" w:cs="Arial"/>
          <w:sz w:val="22"/>
          <w:szCs w:val="22"/>
        </w:rPr>
        <w:t xml:space="preserve">. </w:t>
      </w:r>
    </w:p>
    <w:p w14:paraId="35D2BB60" w14:textId="63F53155" w:rsidR="00214763" w:rsidRPr="00B5102B" w:rsidRDefault="00214763" w:rsidP="00B5102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16B41">
        <w:rPr>
          <w:rFonts w:ascii="Arial" w:hAnsi="Arial" w:cs="Arial"/>
          <w:sz w:val="22"/>
          <w:szCs w:val="22"/>
        </w:rPr>
        <w:t>lient circumstances to determine their potential impact</w:t>
      </w:r>
    </w:p>
    <w:p w14:paraId="2E9E3977" w14:textId="490BC875" w:rsidR="00214763" w:rsidRDefault="00214763" w:rsidP="00695876">
      <w:pPr>
        <w:pStyle w:val="ListParagraph"/>
        <w:numPr>
          <w:ilvl w:val="0"/>
          <w:numId w:val="7"/>
        </w:numPr>
        <w:tabs>
          <w:tab w:val="left" w:pos="709"/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214763">
        <w:rPr>
          <w:rFonts w:ascii="Arial" w:hAnsi="Arial" w:cs="Arial"/>
          <w:sz w:val="22"/>
          <w:szCs w:val="22"/>
        </w:rPr>
        <w:t>potential impact of reasonably foreseeable changes to client circumstances</w:t>
      </w:r>
    </w:p>
    <w:p w14:paraId="2292C23F" w14:textId="5945507E" w:rsidR="00981519" w:rsidRPr="00981519" w:rsidRDefault="00981519" w:rsidP="00695876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81519">
        <w:rPr>
          <w:rFonts w:ascii="Arial" w:hAnsi="Arial" w:cs="Arial"/>
          <w:sz w:val="22"/>
          <w:szCs w:val="22"/>
        </w:rPr>
        <w:t>impact may affect product type or product structure</w:t>
      </w:r>
    </w:p>
    <w:p w14:paraId="78F979F5" w14:textId="77777777" w:rsidR="00EE60C5" w:rsidRDefault="00981519" w:rsidP="00695876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81519">
        <w:rPr>
          <w:rFonts w:ascii="Arial" w:hAnsi="Arial" w:cs="Arial"/>
          <w:sz w:val="22"/>
          <w:szCs w:val="22"/>
        </w:rPr>
        <w:t>job</w:t>
      </w:r>
    </w:p>
    <w:p w14:paraId="7332BC42" w14:textId="15C8A098" w:rsidR="00981519" w:rsidRPr="00981519" w:rsidRDefault="00981519" w:rsidP="00695876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81519">
        <w:rPr>
          <w:rFonts w:ascii="Arial" w:hAnsi="Arial" w:cs="Arial"/>
          <w:sz w:val="22"/>
          <w:szCs w:val="22"/>
        </w:rPr>
        <w:t>relationship.</w:t>
      </w:r>
      <w:r w:rsidR="00EE60C5">
        <w:rPr>
          <w:rFonts w:ascii="Arial" w:hAnsi="Arial" w:cs="Arial"/>
          <w:sz w:val="22"/>
          <w:szCs w:val="22"/>
        </w:rPr>
        <w:t xml:space="preserve"> </w:t>
      </w:r>
    </w:p>
    <w:p w14:paraId="268DFEB9" w14:textId="14C8D9ED" w:rsidR="00560DB9" w:rsidRPr="00FB019B" w:rsidRDefault="00EB7A0B" w:rsidP="00EB7A0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60DB9">
        <w:rPr>
          <w:rFonts w:ascii="Arial" w:hAnsi="Arial" w:cs="Arial"/>
          <w:sz w:val="22"/>
          <w:szCs w:val="22"/>
        </w:rPr>
        <w:t xml:space="preserve">pecialist consultation </w:t>
      </w:r>
      <w:r>
        <w:rPr>
          <w:rFonts w:ascii="Arial" w:hAnsi="Arial" w:cs="Arial"/>
          <w:sz w:val="22"/>
          <w:szCs w:val="22"/>
        </w:rPr>
        <w:t xml:space="preserve">may include </w:t>
      </w:r>
      <w:r w:rsidR="00560DB9" w:rsidRPr="00FB019B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 or accounting. </w:t>
      </w:r>
    </w:p>
    <w:p w14:paraId="6B9FBB29" w14:textId="1E18602B" w:rsidR="0044335B" w:rsidRDefault="0044335B" w:rsidP="0044335B">
      <w:pPr>
        <w:spacing w:line="240" w:lineRule="auto"/>
        <w:rPr>
          <w:rFonts w:ascii="Arial" w:hAnsi="Arial" w:cs="Arial"/>
          <w:sz w:val="22"/>
          <w:szCs w:val="22"/>
        </w:rPr>
      </w:pPr>
      <w:r w:rsidRPr="00072FBD">
        <w:rPr>
          <w:rFonts w:ascii="Arial" w:hAnsi="Arial" w:cs="Arial"/>
          <w:sz w:val="22"/>
          <w:szCs w:val="22"/>
        </w:rPr>
        <w:t xml:space="preserve">Implement </w:t>
      </w:r>
      <w:r>
        <w:rPr>
          <w:rFonts w:ascii="Arial" w:hAnsi="Arial" w:cs="Arial"/>
          <w:sz w:val="22"/>
          <w:szCs w:val="22"/>
        </w:rPr>
        <w:t xml:space="preserve">residential property lending </w:t>
      </w:r>
      <w:r w:rsidRPr="00072FBD">
        <w:rPr>
          <w:rFonts w:ascii="Arial" w:hAnsi="Arial" w:cs="Arial"/>
          <w:sz w:val="22"/>
          <w:szCs w:val="22"/>
        </w:rPr>
        <w:t>recommendations.</w:t>
      </w:r>
    </w:p>
    <w:p w14:paraId="7AD9AF3B" w14:textId="03E53B55" w:rsidR="004612C7" w:rsidRDefault="004612C7" w:rsidP="00695876">
      <w:pPr>
        <w:pStyle w:val="StyleLeft0cmHanging2cm"/>
        <w:keepNext/>
        <w:keepLines/>
        <w:numPr>
          <w:ilvl w:val="0"/>
          <w:numId w:val="12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negotiating any variations required for implementation</w:t>
      </w:r>
    </w:p>
    <w:p w14:paraId="6D46B382" w14:textId="13392BD7" w:rsidR="004612C7" w:rsidRDefault="004612C7" w:rsidP="00695876">
      <w:pPr>
        <w:pStyle w:val="StyleLeft0cmHanging2cm"/>
        <w:keepNext/>
        <w:keepLines/>
        <w:numPr>
          <w:ilvl w:val="0"/>
          <w:numId w:val="12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arranging client acceptance and sign off</w:t>
      </w:r>
      <w:r w:rsidR="007A2B89">
        <w:rPr>
          <w:rFonts w:cs="Arial"/>
          <w:szCs w:val="24"/>
        </w:rPr>
        <w:t xml:space="preserve">. </w:t>
      </w:r>
    </w:p>
    <w:p w14:paraId="6851B9E7" w14:textId="77777777" w:rsidR="00E3621B" w:rsidRDefault="00E3621B" w:rsidP="0031191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3E221A" w14:textId="78CA7D75" w:rsidR="004A35FC" w:rsidRDefault="004A35FC" w:rsidP="00695876">
      <w:pPr>
        <w:spacing w:line="240" w:lineRule="auto"/>
        <w:ind w:hanging="142"/>
        <w:rPr>
          <w:rFonts w:ascii="Arial" w:hAnsi="Arial" w:cs="Arial"/>
          <w:sz w:val="22"/>
          <w:szCs w:val="22"/>
        </w:rPr>
      </w:pPr>
      <w:r w:rsidRPr="00072FBD">
        <w:rPr>
          <w:rFonts w:ascii="Arial" w:hAnsi="Arial" w:cs="Arial"/>
          <w:sz w:val="22"/>
          <w:szCs w:val="22"/>
        </w:rPr>
        <w:t xml:space="preserve">Monitor and review </w:t>
      </w:r>
      <w:r>
        <w:rPr>
          <w:rFonts w:ascii="Arial" w:hAnsi="Arial" w:cs="Arial"/>
          <w:sz w:val="22"/>
          <w:szCs w:val="22"/>
        </w:rPr>
        <w:t>recommendations</w:t>
      </w:r>
      <w:r w:rsidR="000278F5">
        <w:rPr>
          <w:rFonts w:ascii="Arial" w:hAnsi="Arial" w:cs="Arial"/>
          <w:sz w:val="22"/>
          <w:szCs w:val="22"/>
        </w:rPr>
        <w:t xml:space="preserve"> for lending</w:t>
      </w:r>
      <w:r>
        <w:rPr>
          <w:rFonts w:ascii="Arial" w:hAnsi="Arial" w:cs="Arial"/>
          <w:sz w:val="22"/>
          <w:szCs w:val="22"/>
        </w:rPr>
        <w:t>.</w:t>
      </w:r>
    </w:p>
    <w:p w14:paraId="05358155" w14:textId="1D75288E" w:rsidR="002109AA" w:rsidRPr="00956034" w:rsidRDefault="002109AA" w:rsidP="00956034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56034">
        <w:rPr>
          <w:rFonts w:ascii="Arial" w:hAnsi="Arial" w:cs="Arial"/>
          <w:sz w:val="22"/>
          <w:szCs w:val="22"/>
        </w:rPr>
        <w:t>establishing terms for review</w:t>
      </w:r>
    </w:p>
    <w:p w14:paraId="0EFB3BF6" w14:textId="71D369DD" w:rsidR="002109AA" w:rsidRPr="00956034" w:rsidRDefault="002109AA" w:rsidP="00956034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56034">
        <w:rPr>
          <w:rFonts w:ascii="Arial" w:hAnsi="Arial" w:cs="Arial"/>
          <w:sz w:val="22"/>
          <w:szCs w:val="22"/>
        </w:rPr>
        <w:t>timetable for review</w:t>
      </w:r>
    </w:p>
    <w:p w14:paraId="193F6013" w14:textId="1A0A78F1" w:rsidR="002109AA" w:rsidRPr="00956034" w:rsidRDefault="002109AA" w:rsidP="00956034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56034">
        <w:rPr>
          <w:rFonts w:ascii="Arial" w:hAnsi="Arial" w:cs="Arial"/>
          <w:sz w:val="22"/>
          <w:szCs w:val="22"/>
        </w:rPr>
        <w:t>responsibilities of the parties</w:t>
      </w:r>
    </w:p>
    <w:p w14:paraId="7F5EA68A" w14:textId="4D3A48AD" w:rsidR="002109AA" w:rsidRPr="00956034" w:rsidRDefault="002109AA" w:rsidP="00956034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56034">
        <w:rPr>
          <w:rFonts w:ascii="Arial" w:hAnsi="Arial" w:cs="Arial"/>
          <w:sz w:val="22"/>
          <w:szCs w:val="22"/>
        </w:rPr>
        <w:t>assessing progress towards goals</w:t>
      </w:r>
    </w:p>
    <w:p w14:paraId="1C5D1B5D" w14:textId="2F558867" w:rsidR="002109AA" w:rsidRPr="00956034" w:rsidRDefault="002109AA" w:rsidP="00956034">
      <w:pPr>
        <w:pStyle w:val="ListParagraph"/>
        <w:numPr>
          <w:ilvl w:val="0"/>
          <w:numId w:val="7"/>
        </w:numPr>
        <w:tabs>
          <w:tab w:val="left" w:pos="1134"/>
          <w:tab w:val="left" w:pos="2551"/>
        </w:tabs>
        <w:ind w:left="284" w:hanging="284"/>
        <w:rPr>
          <w:rFonts w:ascii="Arial" w:hAnsi="Arial" w:cs="Arial"/>
          <w:sz w:val="22"/>
          <w:szCs w:val="22"/>
        </w:rPr>
      </w:pPr>
      <w:r w:rsidRPr="00956034">
        <w:rPr>
          <w:rFonts w:ascii="Arial" w:hAnsi="Arial" w:cs="Arial"/>
          <w:sz w:val="22"/>
          <w:szCs w:val="22"/>
        </w:rPr>
        <w:t>determining any changes needed.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0F684025" w14:textId="38FA4BEF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>Anti-Money Laundering and Countering Financing of Terrorism Act 2009</w:t>
      </w:r>
    </w:p>
    <w:p w14:paraId="2D718776" w14:textId="4FD9C5A3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hyperlink r:id="rId11" w:history="1">
        <w:r w:rsidRPr="004A66AF">
          <w:rPr>
            <w:rStyle w:val="Hyperlink"/>
            <w:rFonts w:ascii="Arial" w:hAnsi="Arial" w:cs="Arial"/>
            <w:sz w:val="22"/>
            <w:szCs w:val="22"/>
          </w:rPr>
          <w:t>Code of Banking Practice 2</w:t>
        </w:r>
        <w:r w:rsidR="00DA73E5" w:rsidRPr="004A66AF">
          <w:rPr>
            <w:rStyle w:val="Hyperlink"/>
            <w:rFonts w:ascii="Arial" w:hAnsi="Arial" w:cs="Arial"/>
            <w:sz w:val="22"/>
            <w:szCs w:val="22"/>
          </w:rPr>
          <w:t>021</w:t>
        </w:r>
      </w:hyperlink>
    </w:p>
    <w:p w14:paraId="7766804C" w14:textId="3668227C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hyperlink r:id="rId12" w:history="1">
        <w:r w:rsidRPr="00E47C47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3254D9EC" w14:textId="17197B46" w:rsid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>Consumer Guarantees Act 1993</w:t>
      </w:r>
    </w:p>
    <w:p w14:paraId="46B0E1A2" w14:textId="77777777" w:rsidR="002F664C" w:rsidRDefault="002F664C" w:rsidP="00E766A4">
      <w:pPr>
        <w:pStyle w:val="ListParagraph"/>
        <w:numPr>
          <w:ilvl w:val="0"/>
          <w:numId w:val="5"/>
        </w:numPr>
        <w:spacing w:after="0" w:line="240" w:lineRule="auto"/>
        <w:ind w:left="142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3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807C71B" w14:textId="77777777" w:rsidR="006D008F" w:rsidRDefault="006D008F" w:rsidP="006D008F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42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6085FB96" w14:textId="77777777" w:rsidR="00E766A4" w:rsidRPr="0066760C" w:rsidRDefault="00E766A4" w:rsidP="006D008F">
      <w:pPr>
        <w:pStyle w:val="NormalWeb"/>
        <w:numPr>
          <w:ilvl w:val="0"/>
          <w:numId w:val="5"/>
        </w:numPr>
        <w:spacing w:before="0" w:beforeAutospacing="0" w:after="0" w:afterAutospacing="0"/>
        <w:ind w:left="142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4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2FAB0766" w14:textId="77777777" w:rsidR="00DE0C8B" w:rsidRPr="007F1FBE" w:rsidRDefault="00DE0C8B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Financial Markets Authority- </w:t>
      </w:r>
      <w:hyperlink r:id="rId15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3290417E" w14:textId="3DE29963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>Financial Markets Conduct Act 2013</w:t>
      </w:r>
    </w:p>
    <w:p w14:paraId="632D3DF0" w14:textId="66FE1E70" w:rsid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>Financial Services Legislation Amendment Act 2019</w:t>
      </w:r>
    </w:p>
    <w:p w14:paraId="1F4A5893" w14:textId="77777777" w:rsidR="00B23A98" w:rsidRPr="00C2688D" w:rsidRDefault="00B23A98" w:rsidP="00B23A98">
      <w:pPr>
        <w:pStyle w:val="ListParagraph"/>
        <w:numPr>
          <w:ilvl w:val="0"/>
          <w:numId w:val="5"/>
        </w:numPr>
        <w:tabs>
          <w:tab w:val="left" w:pos="142"/>
        </w:tabs>
        <w:ind w:left="142" w:hanging="284"/>
        <w:rPr>
          <w:rFonts w:cs="Arial"/>
          <w:szCs w:val="24"/>
        </w:rPr>
      </w:pPr>
      <w:r w:rsidRPr="00C2688D">
        <w:rPr>
          <w:rFonts w:ascii="Arial" w:hAnsi="Arial" w:cs="Arial"/>
          <w:color w:val="000000" w:themeColor="text1"/>
          <w:sz w:val="22"/>
          <w:szCs w:val="22"/>
        </w:rPr>
        <w:t>ISO 22222 Personal Financial Planning - Requirements for personal financial planners, available from</w:t>
      </w:r>
      <w:r w:rsidRPr="00C2688D">
        <w:rPr>
          <w:rFonts w:cs="Arial"/>
          <w:szCs w:val="24"/>
        </w:rPr>
        <w:t xml:space="preserve"> </w:t>
      </w:r>
      <w:hyperlink r:id="rId16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59ADFEBF" w14:textId="3C501338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>KiwiSaver Act 2006</w:t>
      </w:r>
    </w:p>
    <w:p w14:paraId="0312C812" w14:textId="2D7FC9F1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 xml:space="preserve">Reserve Bank of New Zealand Act </w:t>
      </w:r>
      <w:r w:rsidR="009034A9">
        <w:rPr>
          <w:rFonts w:ascii="Arial" w:hAnsi="Arial" w:cs="Arial"/>
          <w:sz w:val="22"/>
          <w:szCs w:val="22"/>
        </w:rPr>
        <w:t>2021</w:t>
      </w:r>
    </w:p>
    <w:p w14:paraId="0292167C" w14:textId="12A94E16" w:rsidR="007026E7" w:rsidRPr="007026E7" w:rsidRDefault="007026E7" w:rsidP="00695876">
      <w:pPr>
        <w:pStyle w:val="ListParagraph"/>
        <w:numPr>
          <w:ilvl w:val="0"/>
          <w:numId w:val="5"/>
        </w:numPr>
        <w:spacing w:line="240" w:lineRule="auto"/>
        <w:ind w:left="142" w:hanging="284"/>
        <w:rPr>
          <w:rFonts w:ascii="Arial" w:hAnsi="Arial" w:cs="Arial"/>
          <w:sz w:val="22"/>
          <w:szCs w:val="22"/>
        </w:rPr>
      </w:pPr>
      <w:r w:rsidRPr="007026E7">
        <w:rPr>
          <w:rFonts w:ascii="Arial" w:hAnsi="Arial" w:cs="Arial"/>
          <w:sz w:val="22"/>
          <w:szCs w:val="22"/>
        </w:rPr>
        <w:t xml:space="preserve">Responsible Lending Guidelines, published by the Financial Services Federation, Wellington, 2019.  Available at </w:t>
      </w:r>
      <w:hyperlink r:id="rId17" w:history="1">
        <w:r w:rsidRPr="007026E7">
          <w:rPr>
            <w:rStyle w:val="Hyperlink"/>
            <w:rFonts w:ascii="Arial" w:hAnsi="Arial"/>
            <w:sz w:val="22"/>
            <w:szCs w:val="22"/>
          </w:rPr>
          <w:t>www.fsf.org.nz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9755284" w14:textId="565EFC44" w:rsidR="007026E7" w:rsidRDefault="007026E7" w:rsidP="001C1F32">
      <w:pPr>
        <w:pStyle w:val="ListParagraph"/>
        <w:numPr>
          <w:ilvl w:val="0"/>
          <w:numId w:val="5"/>
        </w:numPr>
        <w:spacing w:after="0" w:line="240" w:lineRule="auto"/>
        <w:ind w:left="14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026E7">
        <w:rPr>
          <w:rFonts w:ascii="Arial" w:hAnsi="Arial" w:cs="Arial"/>
          <w:sz w:val="22"/>
          <w:szCs w:val="22"/>
        </w:rPr>
        <w:t>elevant industry codes of conduct</w:t>
      </w:r>
      <w:r w:rsidR="00911EC0">
        <w:rPr>
          <w:rFonts w:ascii="Arial" w:hAnsi="Arial" w:cs="Arial"/>
          <w:sz w:val="22"/>
          <w:szCs w:val="22"/>
        </w:rPr>
        <w:t xml:space="preserve">; </w:t>
      </w:r>
    </w:p>
    <w:p w14:paraId="7454F75A" w14:textId="77777777" w:rsidR="001C1F32" w:rsidRPr="001C1F32" w:rsidRDefault="001C1F32" w:rsidP="001C1F32">
      <w:pPr>
        <w:spacing w:after="0" w:line="240" w:lineRule="auto"/>
        <w:ind w:left="142"/>
        <w:rPr>
          <w:rFonts w:ascii="Arial" w:hAnsi="Arial" w:cs="Arial"/>
          <w:sz w:val="22"/>
          <w:szCs w:val="22"/>
        </w:rPr>
      </w:pPr>
      <w:r w:rsidRPr="001C1F32">
        <w:rPr>
          <w:rFonts w:ascii="Arial" w:hAnsi="Arial" w:cs="Arial"/>
          <w:sz w:val="22"/>
          <w:szCs w:val="22"/>
        </w:rPr>
        <w:t>and all subsequent amendments and replacements.</w:t>
      </w:r>
    </w:p>
    <w:p w14:paraId="02AE508E" w14:textId="77777777" w:rsidR="001C1F32" w:rsidRPr="007026E7" w:rsidRDefault="001C1F32" w:rsidP="001C1F32">
      <w:pPr>
        <w:pStyle w:val="ListParagraph"/>
        <w:spacing w:line="240" w:lineRule="auto"/>
        <w:ind w:left="142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624A1E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624A1E" w:rsidRPr="007950E6" w:rsidRDefault="00624A1E" w:rsidP="00624A1E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7431613" w:rsidR="00624A1E" w:rsidRPr="002205DA" w:rsidRDefault="00624A1E" w:rsidP="00624A1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624A1E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624A1E" w:rsidRPr="007950E6" w:rsidRDefault="00624A1E" w:rsidP="00624A1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3B2BFBA" w:rsidR="00624A1E" w:rsidRPr="004046BA" w:rsidRDefault="00624A1E" w:rsidP="00624A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624A1E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624A1E" w:rsidRPr="004046BA" w:rsidRDefault="00624A1E" w:rsidP="00624A1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811D3C1" w:rsidR="00624A1E" w:rsidRPr="004046BA" w:rsidRDefault="009034A9" w:rsidP="00624A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EA5070B" w:rsidR="00D70473" w:rsidRPr="004046BA" w:rsidRDefault="003A3F0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64C1FF8" w:rsidR="00D70473" w:rsidRPr="004046BA" w:rsidRDefault="008C1B2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replaces unit standard</w:t>
            </w:r>
            <w:r w:rsidR="009678E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DB8">
              <w:rPr>
                <w:rFonts w:ascii="Arial" w:hAnsi="Arial" w:cs="Arial"/>
                <w:sz w:val="22"/>
                <w:szCs w:val="22"/>
              </w:rPr>
              <w:t>31876</w:t>
            </w:r>
            <w:r w:rsidR="008F16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00A8">
              <w:rPr>
                <w:rFonts w:ascii="Arial" w:hAnsi="Arial" w:cs="Arial"/>
                <w:sz w:val="22"/>
                <w:szCs w:val="22"/>
              </w:rPr>
              <w:t>31884</w:t>
            </w:r>
            <w:r w:rsidR="009678E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CD47242" w:rsidR="00D70473" w:rsidRPr="004046BA" w:rsidRDefault="00957DB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3F0B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63F72D1" w14:textId="6C1EAE3D" w:rsidR="008C1B25" w:rsidRPr="00C302FE" w:rsidRDefault="008C1B25" w:rsidP="008C1B25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8" w:history="1">
        <w:r w:rsidRPr="00E05A10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7B24C50B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93E4" w14:textId="77777777" w:rsidR="00996EB4" w:rsidRDefault="00996EB4" w:rsidP="000E4D2B">
      <w:pPr>
        <w:spacing w:after="0" w:line="240" w:lineRule="auto"/>
      </w:pPr>
      <w:r>
        <w:separator/>
      </w:r>
    </w:p>
  </w:endnote>
  <w:endnote w:type="continuationSeparator" w:id="0">
    <w:p w14:paraId="086C092F" w14:textId="77777777" w:rsidR="00996EB4" w:rsidRDefault="00996EB4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5E2C" w14:textId="77777777" w:rsidR="008A610C" w:rsidRDefault="008A6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BB16008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E0E38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AA2E" w14:textId="77777777" w:rsidR="008A610C" w:rsidRDefault="008A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9F13" w14:textId="77777777" w:rsidR="00996EB4" w:rsidRDefault="00996EB4" w:rsidP="000E4D2B">
      <w:pPr>
        <w:spacing w:after="0" w:line="240" w:lineRule="auto"/>
      </w:pPr>
      <w:r>
        <w:separator/>
      </w:r>
    </w:p>
  </w:footnote>
  <w:footnote w:type="continuationSeparator" w:id="0">
    <w:p w14:paraId="5CACBA1B" w14:textId="77777777" w:rsidR="00996EB4" w:rsidRDefault="00996EB4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D46B" w14:textId="68DC1714" w:rsidR="008A610C" w:rsidRDefault="008A610C">
    <w:pPr>
      <w:pStyle w:val="Header"/>
    </w:pPr>
    <w:r>
      <w:rPr>
        <w:noProof/>
      </w:rPr>
      <w:pict w14:anchorId="5433F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6813" o:spid="_x0000_s1026" type="#_x0000_t136" style="position:absolute;margin-left:0;margin-top:0;width:541.05pt;height:16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4BFBB49C" w:rsidR="007066D6" w:rsidRDefault="008A610C">
    <w:pPr>
      <w:pStyle w:val="Header"/>
    </w:pPr>
    <w:r>
      <w:rPr>
        <w:noProof/>
      </w:rPr>
      <w:pict w14:anchorId="410731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6814" o:spid="_x0000_s1027" type="#_x0000_t136" style="position:absolute;margin-left:0;margin-top:0;width:541.05pt;height:16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54D3" w14:textId="679A9914" w:rsidR="008A610C" w:rsidRDefault="008A610C">
    <w:pPr>
      <w:pStyle w:val="Header"/>
    </w:pPr>
    <w:r>
      <w:rPr>
        <w:noProof/>
      </w:rPr>
      <w:pict w14:anchorId="1D2D2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6812" o:spid="_x0000_s1025" type="#_x0000_t136" style="position:absolute;margin-left:0;margin-top:0;width:541.05pt;height:1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AA8"/>
    <w:multiLevelType w:val="hybridMultilevel"/>
    <w:tmpl w:val="64B85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3DEE"/>
    <w:multiLevelType w:val="hybridMultilevel"/>
    <w:tmpl w:val="B874CED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45A44"/>
    <w:multiLevelType w:val="hybridMultilevel"/>
    <w:tmpl w:val="3B3E44F4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4946CE"/>
    <w:multiLevelType w:val="hybridMultilevel"/>
    <w:tmpl w:val="003EA578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7CF33CE"/>
    <w:multiLevelType w:val="hybridMultilevel"/>
    <w:tmpl w:val="470CF6B6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DB46A9A"/>
    <w:multiLevelType w:val="hybridMultilevel"/>
    <w:tmpl w:val="ECDC3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B40AE"/>
    <w:multiLevelType w:val="hybridMultilevel"/>
    <w:tmpl w:val="12D61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F04FD"/>
    <w:multiLevelType w:val="hybridMultilevel"/>
    <w:tmpl w:val="8E38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367E"/>
    <w:multiLevelType w:val="hybridMultilevel"/>
    <w:tmpl w:val="9348B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1498"/>
    <w:multiLevelType w:val="hybridMultilevel"/>
    <w:tmpl w:val="864A25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3"/>
  </w:num>
  <w:num w:numId="2" w16cid:durableId="939338842">
    <w:abstractNumId w:val="13"/>
  </w:num>
  <w:num w:numId="3" w16cid:durableId="829250700">
    <w:abstractNumId w:val="12"/>
  </w:num>
  <w:num w:numId="4" w16cid:durableId="1086147032">
    <w:abstractNumId w:val="2"/>
  </w:num>
  <w:num w:numId="5" w16cid:durableId="2040206172">
    <w:abstractNumId w:val="9"/>
  </w:num>
  <w:num w:numId="6" w16cid:durableId="1754664188">
    <w:abstractNumId w:val="8"/>
  </w:num>
  <w:num w:numId="7" w16cid:durableId="149685075">
    <w:abstractNumId w:val="6"/>
  </w:num>
  <w:num w:numId="8" w16cid:durableId="176577435">
    <w:abstractNumId w:val="0"/>
  </w:num>
  <w:num w:numId="9" w16cid:durableId="1157376611">
    <w:abstractNumId w:val="10"/>
  </w:num>
  <w:num w:numId="10" w16cid:durableId="296883774">
    <w:abstractNumId w:val="1"/>
  </w:num>
  <w:num w:numId="11" w16cid:durableId="1183741353">
    <w:abstractNumId w:val="5"/>
  </w:num>
  <w:num w:numId="12" w16cid:durableId="710498092">
    <w:abstractNumId w:val="4"/>
  </w:num>
  <w:num w:numId="13" w16cid:durableId="171918918">
    <w:abstractNumId w:val="7"/>
  </w:num>
  <w:num w:numId="14" w16cid:durableId="172887028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4100"/>
    <w:rsid w:val="000231B5"/>
    <w:rsid w:val="000278F5"/>
    <w:rsid w:val="00030C56"/>
    <w:rsid w:val="00033356"/>
    <w:rsid w:val="00044F83"/>
    <w:rsid w:val="00046FFC"/>
    <w:rsid w:val="00070812"/>
    <w:rsid w:val="00072FBD"/>
    <w:rsid w:val="00073185"/>
    <w:rsid w:val="00084ADF"/>
    <w:rsid w:val="00085BF7"/>
    <w:rsid w:val="0008628A"/>
    <w:rsid w:val="000904D1"/>
    <w:rsid w:val="000920E3"/>
    <w:rsid w:val="000941C7"/>
    <w:rsid w:val="000A01B4"/>
    <w:rsid w:val="000A4DFD"/>
    <w:rsid w:val="000A5CBF"/>
    <w:rsid w:val="000A755F"/>
    <w:rsid w:val="000C20DE"/>
    <w:rsid w:val="000C7321"/>
    <w:rsid w:val="000D1A7E"/>
    <w:rsid w:val="000D7AF5"/>
    <w:rsid w:val="000E4D2B"/>
    <w:rsid w:val="000E51B5"/>
    <w:rsid w:val="000E5A36"/>
    <w:rsid w:val="00101F1B"/>
    <w:rsid w:val="00102389"/>
    <w:rsid w:val="001061EF"/>
    <w:rsid w:val="00110689"/>
    <w:rsid w:val="001216B1"/>
    <w:rsid w:val="0013281F"/>
    <w:rsid w:val="00133EE5"/>
    <w:rsid w:val="00143C2A"/>
    <w:rsid w:val="00146AB0"/>
    <w:rsid w:val="001516A8"/>
    <w:rsid w:val="0015191A"/>
    <w:rsid w:val="00160821"/>
    <w:rsid w:val="001709E9"/>
    <w:rsid w:val="00170D99"/>
    <w:rsid w:val="0017713D"/>
    <w:rsid w:val="00180BE0"/>
    <w:rsid w:val="001949A9"/>
    <w:rsid w:val="001A1A7D"/>
    <w:rsid w:val="001A2C54"/>
    <w:rsid w:val="001B0110"/>
    <w:rsid w:val="001B3C76"/>
    <w:rsid w:val="001C0074"/>
    <w:rsid w:val="001C1F32"/>
    <w:rsid w:val="001C547E"/>
    <w:rsid w:val="001D66E8"/>
    <w:rsid w:val="001D79C8"/>
    <w:rsid w:val="001F7BD3"/>
    <w:rsid w:val="00205924"/>
    <w:rsid w:val="0020717C"/>
    <w:rsid w:val="002109AA"/>
    <w:rsid w:val="00214763"/>
    <w:rsid w:val="002153A4"/>
    <w:rsid w:val="00215E81"/>
    <w:rsid w:val="00216F02"/>
    <w:rsid w:val="00217970"/>
    <w:rsid w:val="002205DA"/>
    <w:rsid w:val="00220C4F"/>
    <w:rsid w:val="00221CF9"/>
    <w:rsid w:val="00221E10"/>
    <w:rsid w:val="00222548"/>
    <w:rsid w:val="0022587B"/>
    <w:rsid w:val="002315B8"/>
    <w:rsid w:val="00231619"/>
    <w:rsid w:val="00232403"/>
    <w:rsid w:val="00233581"/>
    <w:rsid w:val="002410A6"/>
    <w:rsid w:val="00241DA3"/>
    <w:rsid w:val="00246866"/>
    <w:rsid w:val="0025519D"/>
    <w:rsid w:val="00255C11"/>
    <w:rsid w:val="00255F06"/>
    <w:rsid w:val="00256F75"/>
    <w:rsid w:val="002579E2"/>
    <w:rsid w:val="00261757"/>
    <w:rsid w:val="002636A4"/>
    <w:rsid w:val="0026513F"/>
    <w:rsid w:val="00281E1F"/>
    <w:rsid w:val="00287A7C"/>
    <w:rsid w:val="002A755F"/>
    <w:rsid w:val="002A7E06"/>
    <w:rsid w:val="002B53C2"/>
    <w:rsid w:val="002B5C4C"/>
    <w:rsid w:val="002B616B"/>
    <w:rsid w:val="002B7B23"/>
    <w:rsid w:val="002C3D0F"/>
    <w:rsid w:val="002D0494"/>
    <w:rsid w:val="002D0D05"/>
    <w:rsid w:val="002D240C"/>
    <w:rsid w:val="002E5BE6"/>
    <w:rsid w:val="002F664C"/>
    <w:rsid w:val="00303975"/>
    <w:rsid w:val="00303B4E"/>
    <w:rsid w:val="00311911"/>
    <w:rsid w:val="00312E54"/>
    <w:rsid w:val="00316436"/>
    <w:rsid w:val="00320B91"/>
    <w:rsid w:val="00325632"/>
    <w:rsid w:val="00337D19"/>
    <w:rsid w:val="00340A13"/>
    <w:rsid w:val="00341B19"/>
    <w:rsid w:val="00342E93"/>
    <w:rsid w:val="0034342A"/>
    <w:rsid w:val="003508C2"/>
    <w:rsid w:val="0035541A"/>
    <w:rsid w:val="0037343F"/>
    <w:rsid w:val="0038035D"/>
    <w:rsid w:val="003815DF"/>
    <w:rsid w:val="00390032"/>
    <w:rsid w:val="00397076"/>
    <w:rsid w:val="003A2C75"/>
    <w:rsid w:val="003A3F0B"/>
    <w:rsid w:val="003A43D4"/>
    <w:rsid w:val="003B0B83"/>
    <w:rsid w:val="003B2789"/>
    <w:rsid w:val="003B3694"/>
    <w:rsid w:val="003B5B24"/>
    <w:rsid w:val="003B7D18"/>
    <w:rsid w:val="003C4AF8"/>
    <w:rsid w:val="003D4628"/>
    <w:rsid w:val="003E28BA"/>
    <w:rsid w:val="003E42B4"/>
    <w:rsid w:val="003F117B"/>
    <w:rsid w:val="003F1347"/>
    <w:rsid w:val="003F7757"/>
    <w:rsid w:val="004046BA"/>
    <w:rsid w:val="0041699A"/>
    <w:rsid w:val="0042401C"/>
    <w:rsid w:val="00425202"/>
    <w:rsid w:val="00430D19"/>
    <w:rsid w:val="004358AA"/>
    <w:rsid w:val="00436459"/>
    <w:rsid w:val="00441A93"/>
    <w:rsid w:val="0044335B"/>
    <w:rsid w:val="00444B4E"/>
    <w:rsid w:val="00453343"/>
    <w:rsid w:val="004609D1"/>
    <w:rsid w:val="004612C7"/>
    <w:rsid w:val="00462050"/>
    <w:rsid w:val="0046566B"/>
    <w:rsid w:val="00465E41"/>
    <w:rsid w:val="00480EBE"/>
    <w:rsid w:val="00481E4A"/>
    <w:rsid w:val="0048579C"/>
    <w:rsid w:val="00492483"/>
    <w:rsid w:val="0049417A"/>
    <w:rsid w:val="004A35FC"/>
    <w:rsid w:val="004A66AF"/>
    <w:rsid w:val="004B4414"/>
    <w:rsid w:val="004C10F7"/>
    <w:rsid w:val="004C3B66"/>
    <w:rsid w:val="004D40AB"/>
    <w:rsid w:val="004D6146"/>
    <w:rsid w:val="004D6E14"/>
    <w:rsid w:val="004D7178"/>
    <w:rsid w:val="004E4ACB"/>
    <w:rsid w:val="004E69A1"/>
    <w:rsid w:val="004F689C"/>
    <w:rsid w:val="0050278E"/>
    <w:rsid w:val="00504F78"/>
    <w:rsid w:val="005121CA"/>
    <w:rsid w:val="00522345"/>
    <w:rsid w:val="00522A75"/>
    <w:rsid w:val="00526479"/>
    <w:rsid w:val="00527CBD"/>
    <w:rsid w:val="005325EC"/>
    <w:rsid w:val="00533A6C"/>
    <w:rsid w:val="005344E8"/>
    <w:rsid w:val="0053541A"/>
    <w:rsid w:val="0053752C"/>
    <w:rsid w:val="005425EF"/>
    <w:rsid w:val="0054485C"/>
    <w:rsid w:val="0054645E"/>
    <w:rsid w:val="0054696C"/>
    <w:rsid w:val="005502B0"/>
    <w:rsid w:val="0055415D"/>
    <w:rsid w:val="00554D79"/>
    <w:rsid w:val="00560DB9"/>
    <w:rsid w:val="00565906"/>
    <w:rsid w:val="00565952"/>
    <w:rsid w:val="005700A8"/>
    <w:rsid w:val="00570160"/>
    <w:rsid w:val="00571ADA"/>
    <w:rsid w:val="005805F7"/>
    <w:rsid w:val="00581EA9"/>
    <w:rsid w:val="00581F3F"/>
    <w:rsid w:val="00582E1E"/>
    <w:rsid w:val="00587ECF"/>
    <w:rsid w:val="00591B22"/>
    <w:rsid w:val="005A054E"/>
    <w:rsid w:val="005A37EE"/>
    <w:rsid w:val="005B2437"/>
    <w:rsid w:val="005C08EF"/>
    <w:rsid w:val="005D442B"/>
    <w:rsid w:val="005F09F0"/>
    <w:rsid w:val="006001FF"/>
    <w:rsid w:val="00607FD5"/>
    <w:rsid w:val="00610626"/>
    <w:rsid w:val="00611A61"/>
    <w:rsid w:val="006221B9"/>
    <w:rsid w:val="00623D26"/>
    <w:rsid w:val="00624205"/>
    <w:rsid w:val="00624A1E"/>
    <w:rsid w:val="00631A17"/>
    <w:rsid w:val="00637579"/>
    <w:rsid w:val="00642A71"/>
    <w:rsid w:val="0065442F"/>
    <w:rsid w:val="00664DAB"/>
    <w:rsid w:val="00667A2E"/>
    <w:rsid w:val="00667EF5"/>
    <w:rsid w:val="00671662"/>
    <w:rsid w:val="0067411A"/>
    <w:rsid w:val="00676A27"/>
    <w:rsid w:val="006775EA"/>
    <w:rsid w:val="0068149C"/>
    <w:rsid w:val="00683B96"/>
    <w:rsid w:val="00684273"/>
    <w:rsid w:val="006858E2"/>
    <w:rsid w:val="006904C4"/>
    <w:rsid w:val="00695876"/>
    <w:rsid w:val="006A2859"/>
    <w:rsid w:val="006A5691"/>
    <w:rsid w:val="006B05FC"/>
    <w:rsid w:val="006B0903"/>
    <w:rsid w:val="006B106C"/>
    <w:rsid w:val="006B4570"/>
    <w:rsid w:val="006B702E"/>
    <w:rsid w:val="006C06E7"/>
    <w:rsid w:val="006C4473"/>
    <w:rsid w:val="006C4B67"/>
    <w:rsid w:val="006C5740"/>
    <w:rsid w:val="006D008F"/>
    <w:rsid w:val="006D27B8"/>
    <w:rsid w:val="006D3A19"/>
    <w:rsid w:val="006E0E38"/>
    <w:rsid w:val="006E4EDF"/>
    <w:rsid w:val="006F0B88"/>
    <w:rsid w:val="006F1206"/>
    <w:rsid w:val="006F15C4"/>
    <w:rsid w:val="006F7960"/>
    <w:rsid w:val="007026E7"/>
    <w:rsid w:val="007066D6"/>
    <w:rsid w:val="007146B7"/>
    <w:rsid w:val="00721CCA"/>
    <w:rsid w:val="00731529"/>
    <w:rsid w:val="007352E8"/>
    <w:rsid w:val="007359A1"/>
    <w:rsid w:val="00740A64"/>
    <w:rsid w:val="00742373"/>
    <w:rsid w:val="00742982"/>
    <w:rsid w:val="00743153"/>
    <w:rsid w:val="00745727"/>
    <w:rsid w:val="00752CBF"/>
    <w:rsid w:val="0076458C"/>
    <w:rsid w:val="0077053D"/>
    <w:rsid w:val="00774093"/>
    <w:rsid w:val="007809EA"/>
    <w:rsid w:val="007949D6"/>
    <w:rsid w:val="007955DF"/>
    <w:rsid w:val="00795A66"/>
    <w:rsid w:val="007A01A7"/>
    <w:rsid w:val="007A2B89"/>
    <w:rsid w:val="007A4A26"/>
    <w:rsid w:val="007B198A"/>
    <w:rsid w:val="007B29C1"/>
    <w:rsid w:val="007B3137"/>
    <w:rsid w:val="007B3701"/>
    <w:rsid w:val="007C1259"/>
    <w:rsid w:val="007C6F47"/>
    <w:rsid w:val="007D1851"/>
    <w:rsid w:val="007D1F85"/>
    <w:rsid w:val="007D4A73"/>
    <w:rsid w:val="007E0DDC"/>
    <w:rsid w:val="007E19FF"/>
    <w:rsid w:val="007F061B"/>
    <w:rsid w:val="007F10EE"/>
    <w:rsid w:val="007F4CE3"/>
    <w:rsid w:val="0080178F"/>
    <w:rsid w:val="0080200B"/>
    <w:rsid w:val="0080585F"/>
    <w:rsid w:val="00807460"/>
    <w:rsid w:val="00815C95"/>
    <w:rsid w:val="00831880"/>
    <w:rsid w:val="00834A67"/>
    <w:rsid w:val="00834C73"/>
    <w:rsid w:val="0084301A"/>
    <w:rsid w:val="0085438E"/>
    <w:rsid w:val="00856EFD"/>
    <w:rsid w:val="008622B2"/>
    <w:rsid w:val="0086612C"/>
    <w:rsid w:val="00872866"/>
    <w:rsid w:val="0087292A"/>
    <w:rsid w:val="00872B37"/>
    <w:rsid w:val="0088388B"/>
    <w:rsid w:val="008874DE"/>
    <w:rsid w:val="00890F0D"/>
    <w:rsid w:val="00891F57"/>
    <w:rsid w:val="0089229E"/>
    <w:rsid w:val="00893076"/>
    <w:rsid w:val="008A0902"/>
    <w:rsid w:val="008A4CC7"/>
    <w:rsid w:val="008A610C"/>
    <w:rsid w:val="008C1B25"/>
    <w:rsid w:val="008C4746"/>
    <w:rsid w:val="008D726D"/>
    <w:rsid w:val="008E5996"/>
    <w:rsid w:val="008F12F3"/>
    <w:rsid w:val="008F16F4"/>
    <w:rsid w:val="009034A9"/>
    <w:rsid w:val="00906956"/>
    <w:rsid w:val="009114F6"/>
    <w:rsid w:val="00911EC0"/>
    <w:rsid w:val="00915891"/>
    <w:rsid w:val="009162B2"/>
    <w:rsid w:val="00916B41"/>
    <w:rsid w:val="00935F3B"/>
    <w:rsid w:val="0093759E"/>
    <w:rsid w:val="0094090A"/>
    <w:rsid w:val="00944B88"/>
    <w:rsid w:val="009477E6"/>
    <w:rsid w:val="00956034"/>
    <w:rsid w:val="00957DB8"/>
    <w:rsid w:val="0096056F"/>
    <w:rsid w:val="00962116"/>
    <w:rsid w:val="009655A0"/>
    <w:rsid w:val="009678EF"/>
    <w:rsid w:val="00971CAC"/>
    <w:rsid w:val="009722CE"/>
    <w:rsid w:val="00972AB9"/>
    <w:rsid w:val="00972D29"/>
    <w:rsid w:val="00972EBC"/>
    <w:rsid w:val="0097425C"/>
    <w:rsid w:val="009759B3"/>
    <w:rsid w:val="00980871"/>
    <w:rsid w:val="00981519"/>
    <w:rsid w:val="0099335A"/>
    <w:rsid w:val="00996EB4"/>
    <w:rsid w:val="009A7C7A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A135D5"/>
    <w:rsid w:val="00A16B94"/>
    <w:rsid w:val="00A2114B"/>
    <w:rsid w:val="00A2260E"/>
    <w:rsid w:val="00A23CDF"/>
    <w:rsid w:val="00A25A4D"/>
    <w:rsid w:val="00A3138C"/>
    <w:rsid w:val="00A3798E"/>
    <w:rsid w:val="00A4123A"/>
    <w:rsid w:val="00A56E29"/>
    <w:rsid w:val="00A61483"/>
    <w:rsid w:val="00A62330"/>
    <w:rsid w:val="00A65988"/>
    <w:rsid w:val="00A6695B"/>
    <w:rsid w:val="00A72A44"/>
    <w:rsid w:val="00A730F8"/>
    <w:rsid w:val="00A7536B"/>
    <w:rsid w:val="00A75491"/>
    <w:rsid w:val="00A81D08"/>
    <w:rsid w:val="00A8667E"/>
    <w:rsid w:val="00A90DB9"/>
    <w:rsid w:val="00A9129E"/>
    <w:rsid w:val="00A91CD4"/>
    <w:rsid w:val="00A94113"/>
    <w:rsid w:val="00AA07B2"/>
    <w:rsid w:val="00AA27B8"/>
    <w:rsid w:val="00AA2E55"/>
    <w:rsid w:val="00AA5AAD"/>
    <w:rsid w:val="00AA5FAF"/>
    <w:rsid w:val="00AA79CB"/>
    <w:rsid w:val="00AB166D"/>
    <w:rsid w:val="00AC0D87"/>
    <w:rsid w:val="00AC4574"/>
    <w:rsid w:val="00AC672D"/>
    <w:rsid w:val="00AD2D81"/>
    <w:rsid w:val="00AE29B3"/>
    <w:rsid w:val="00AE514B"/>
    <w:rsid w:val="00AF51EC"/>
    <w:rsid w:val="00AF5E43"/>
    <w:rsid w:val="00B00002"/>
    <w:rsid w:val="00B01D44"/>
    <w:rsid w:val="00B06FE9"/>
    <w:rsid w:val="00B077ED"/>
    <w:rsid w:val="00B121C8"/>
    <w:rsid w:val="00B16686"/>
    <w:rsid w:val="00B23A98"/>
    <w:rsid w:val="00B353DC"/>
    <w:rsid w:val="00B36ECF"/>
    <w:rsid w:val="00B43186"/>
    <w:rsid w:val="00B50A46"/>
    <w:rsid w:val="00B5102B"/>
    <w:rsid w:val="00B606E1"/>
    <w:rsid w:val="00B62B9F"/>
    <w:rsid w:val="00B63FFC"/>
    <w:rsid w:val="00B65F0A"/>
    <w:rsid w:val="00B778F8"/>
    <w:rsid w:val="00B77D7F"/>
    <w:rsid w:val="00B80B77"/>
    <w:rsid w:val="00B811C1"/>
    <w:rsid w:val="00B91BFE"/>
    <w:rsid w:val="00B92EA6"/>
    <w:rsid w:val="00B92FC2"/>
    <w:rsid w:val="00B95260"/>
    <w:rsid w:val="00B971AE"/>
    <w:rsid w:val="00BA6AED"/>
    <w:rsid w:val="00BB0A3B"/>
    <w:rsid w:val="00BB3927"/>
    <w:rsid w:val="00BB468E"/>
    <w:rsid w:val="00BB68B2"/>
    <w:rsid w:val="00BC672F"/>
    <w:rsid w:val="00BD051E"/>
    <w:rsid w:val="00BD251D"/>
    <w:rsid w:val="00BD5661"/>
    <w:rsid w:val="00BE2D6A"/>
    <w:rsid w:val="00BF088E"/>
    <w:rsid w:val="00BF1C0F"/>
    <w:rsid w:val="00BF1D93"/>
    <w:rsid w:val="00BF60F0"/>
    <w:rsid w:val="00C002D5"/>
    <w:rsid w:val="00C0669C"/>
    <w:rsid w:val="00C11088"/>
    <w:rsid w:val="00C12446"/>
    <w:rsid w:val="00C14BF2"/>
    <w:rsid w:val="00C2556C"/>
    <w:rsid w:val="00C302FE"/>
    <w:rsid w:val="00C306C6"/>
    <w:rsid w:val="00C447AA"/>
    <w:rsid w:val="00C46050"/>
    <w:rsid w:val="00C60F7A"/>
    <w:rsid w:val="00C626FF"/>
    <w:rsid w:val="00C634AF"/>
    <w:rsid w:val="00C66E7B"/>
    <w:rsid w:val="00C67B88"/>
    <w:rsid w:val="00C86A96"/>
    <w:rsid w:val="00C929E9"/>
    <w:rsid w:val="00C92B9E"/>
    <w:rsid w:val="00C93898"/>
    <w:rsid w:val="00C94B8E"/>
    <w:rsid w:val="00C9722F"/>
    <w:rsid w:val="00CB16F1"/>
    <w:rsid w:val="00CB2F44"/>
    <w:rsid w:val="00CB490C"/>
    <w:rsid w:val="00CC5554"/>
    <w:rsid w:val="00CD01D6"/>
    <w:rsid w:val="00CD1012"/>
    <w:rsid w:val="00CE0D1F"/>
    <w:rsid w:val="00CE1BDE"/>
    <w:rsid w:val="00CE3600"/>
    <w:rsid w:val="00CE4CC6"/>
    <w:rsid w:val="00D052CB"/>
    <w:rsid w:val="00D10AAB"/>
    <w:rsid w:val="00D15FDE"/>
    <w:rsid w:val="00D20B3A"/>
    <w:rsid w:val="00D26450"/>
    <w:rsid w:val="00D27075"/>
    <w:rsid w:val="00D27855"/>
    <w:rsid w:val="00D37D0C"/>
    <w:rsid w:val="00D41E24"/>
    <w:rsid w:val="00D452DE"/>
    <w:rsid w:val="00D60562"/>
    <w:rsid w:val="00D66B82"/>
    <w:rsid w:val="00D70473"/>
    <w:rsid w:val="00D70D7D"/>
    <w:rsid w:val="00D75F27"/>
    <w:rsid w:val="00D777AF"/>
    <w:rsid w:val="00D8228F"/>
    <w:rsid w:val="00DA0170"/>
    <w:rsid w:val="00DA3988"/>
    <w:rsid w:val="00DA61C5"/>
    <w:rsid w:val="00DA73E5"/>
    <w:rsid w:val="00DB0D37"/>
    <w:rsid w:val="00DC12F6"/>
    <w:rsid w:val="00DC70E1"/>
    <w:rsid w:val="00DD25DC"/>
    <w:rsid w:val="00DE05EA"/>
    <w:rsid w:val="00DE0C8B"/>
    <w:rsid w:val="00DE70F1"/>
    <w:rsid w:val="00E00365"/>
    <w:rsid w:val="00E01062"/>
    <w:rsid w:val="00E029B2"/>
    <w:rsid w:val="00E05395"/>
    <w:rsid w:val="00E07C46"/>
    <w:rsid w:val="00E13167"/>
    <w:rsid w:val="00E13F50"/>
    <w:rsid w:val="00E17FC2"/>
    <w:rsid w:val="00E209B0"/>
    <w:rsid w:val="00E307ED"/>
    <w:rsid w:val="00E31360"/>
    <w:rsid w:val="00E32D32"/>
    <w:rsid w:val="00E34D40"/>
    <w:rsid w:val="00E3621B"/>
    <w:rsid w:val="00E412D7"/>
    <w:rsid w:val="00E445AC"/>
    <w:rsid w:val="00E46583"/>
    <w:rsid w:val="00E47C47"/>
    <w:rsid w:val="00E50971"/>
    <w:rsid w:val="00E54639"/>
    <w:rsid w:val="00E54923"/>
    <w:rsid w:val="00E6749F"/>
    <w:rsid w:val="00E74E68"/>
    <w:rsid w:val="00E766A4"/>
    <w:rsid w:val="00E84248"/>
    <w:rsid w:val="00E90628"/>
    <w:rsid w:val="00E969D2"/>
    <w:rsid w:val="00E97F36"/>
    <w:rsid w:val="00EA07E6"/>
    <w:rsid w:val="00EB7A0B"/>
    <w:rsid w:val="00ED7C44"/>
    <w:rsid w:val="00EE60C5"/>
    <w:rsid w:val="00F043AF"/>
    <w:rsid w:val="00F045A0"/>
    <w:rsid w:val="00F12923"/>
    <w:rsid w:val="00F12F70"/>
    <w:rsid w:val="00F16271"/>
    <w:rsid w:val="00F17EC7"/>
    <w:rsid w:val="00F36051"/>
    <w:rsid w:val="00F37B24"/>
    <w:rsid w:val="00F43CA7"/>
    <w:rsid w:val="00F460B5"/>
    <w:rsid w:val="00F50A6B"/>
    <w:rsid w:val="00F55801"/>
    <w:rsid w:val="00F66119"/>
    <w:rsid w:val="00F71AA8"/>
    <w:rsid w:val="00F723DF"/>
    <w:rsid w:val="00F728C7"/>
    <w:rsid w:val="00F77122"/>
    <w:rsid w:val="00F77D18"/>
    <w:rsid w:val="00F824D8"/>
    <w:rsid w:val="00F84183"/>
    <w:rsid w:val="00F845A3"/>
    <w:rsid w:val="00F946D5"/>
    <w:rsid w:val="00FB21E5"/>
    <w:rsid w:val="00FB44FD"/>
    <w:rsid w:val="00FB634C"/>
    <w:rsid w:val="00FC49FB"/>
    <w:rsid w:val="00FC6691"/>
    <w:rsid w:val="00FC7966"/>
    <w:rsid w:val="00FF163D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StyleLeft0cmHanging2cm">
    <w:name w:val="Style Left:  0 cm Hanging:  2 cm"/>
    <w:basedOn w:val="Normal"/>
    <w:rsid w:val="002109AA"/>
    <w:pPr>
      <w:tabs>
        <w:tab w:val="left" w:pos="1134"/>
        <w:tab w:val="left" w:pos="2552"/>
      </w:tabs>
      <w:spacing w:after="0" w:line="240" w:lineRule="auto"/>
      <w:ind w:left="1123" w:hanging="1123"/>
    </w:pPr>
    <w:rPr>
      <w:rFonts w:ascii="Arial" w:hAnsi="Arial" w:cs="Times New Roman"/>
      <w:color w:val="auto"/>
      <w:kern w:val="0"/>
      <w:sz w:val="24"/>
      <w:lang w:eastAsia="en-US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E766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Reports/CustomerVulnerability-ourexpectationsforproviders.pdf" TargetMode="External"/><Relationship Id="rId18" Type="http://schemas.openxmlformats.org/officeDocument/2006/relationships/hyperlink" Target="mailto:qualifications@ringahora.n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inancialadvicecode.govt.nz/wp-content/uploads/2021/03/codeofprofessionalconduct-march2021.pdf" TargetMode="External"/><Relationship Id="rId17" Type="http://schemas.openxmlformats.org/officeDocument/2006/relationships/hyperlink" Target="http://www.fsf.org.n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ba.org.nz/wp-content/uploads/2023/12/Code-Of-Banking-Practice-A4-PRINTABLE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ma.govt.nz/assets/Research/Understanding-Artificial-Intelligence-in-Financial-Services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Information-sheets/Developing-cyber-resilience-for-financial-advice-provider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76f611d7-c539-42f4-ad81-5b242bcfce8e"/>
    <ds:schemaRef ds:uri="ec761af5-23b3-453d-aa00-8620c42b1ab2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c7c66f8a-fd0d-4da3-b6ce-0241484f0de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A4DD0-EE7F-41B2-BA5E-26883FF4E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16</cp:revision>
  <cp:lastPrinted>2023-05-01T02:03:00Z</cp:lastPrinted>
  <dcterms:created xsi:type="dcterms:W3CDTF">2025-01-22T00:35:00Z</dcterms:created>
  <dcterms:modified xsi:type="dcterms:W3CDTF">2025-01-22T00:48:00Z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