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79ECD253" w:rsidR="007066D6" w:rsidRDefault="007F3B66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8060" w:type="dxa"/>
          </w:tcPr>
          <w:p w14:paraId="512FDC1E" w14:textId="03E19EEA" w:rsidR="007066D6" w:rsidRPr="004D6E14" w:rsidRDefault="000B3A86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</w:t>
            </w:r>
            <w:r w:rsidR="002A1EBA">
              <w:rPr>
                <w:rFonts w:ascii="Arial" w:hAnsi="Arial" w:cs="Arial"/>
                <w:b/>
                <w:bCs/>
                <w:color w:val="auto"/>
              </w:rPr>
              <w:t xml:space="preserve">nalyse client information </w:t>
            </w:r>
            <w:r w:rsidR="003324AA">
              <w:rPr>
                <w:rFonts w:ascii="Arial" w:hAnsi="Arial" w:cs="Arial"/>
                <w:b/>
                <w:bCs/>
                <w:color w:val="auto"/>
              </w:rPr>
              <w:t xml:space="preserve">to establish </w:t>
            </w:r>
            <w:r w:rsidR="00E73CE6"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0DB3916">
              <w:rPr>
                <w:rFonts w:ascii="Arial" w:hAnsi="Arial" w:cs="Arial"/>
                <w:b/>
                <w:bCs/>
                <w:color w:val="auto"/>
              </w:rPr>
              <w:t xml:space="preserve">ife, </w:t>
            </w:r>
            <w:r w:rsidR="00E73CE6">
              <w:rPr>
                <w:rFonts w:ascii="Arial" w:hAnsi="Arial" w:cs="Arial"/>
                <w:b/>
                <w:bCs/>
                <w:color w:val="auto"/>
              </w:rPr>
              <w:t>d</w:t>
            </w:r>
            <w:r w:rsidR="00DB3916">
              <w:rPr>
                <w:rFonts w:ascii="Arial" w:hAnsi="Arial" w:cs="Arial"/>
                <w:b/>
                <w:bCs/>
                <w:color w:val="auto"/>
              </w:rPr>
              <w:t>isability</w:t>
            </w:r>
            <w:r w:rsidR="00E73CE6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="00DB3916">
              <w:rPr>
                <w:rFonts w:ascii="Arial" w:hAnsi="Arial" w:cs="Arial"/>
                <w:b/>
                <w:bCs/>
                <w:color w:val="auto"/>
              </w:rPr>
              <w:t xml:space="preserve">and </w:t>
            </w:r>
            <w:r w:rsidR="00E73CE6">
              <w:rPr>
                <w:rFonts w:ascii="Arial" w:hAnsi="Arial" w:cs="Arial"/>
                <w:b/>
                <w:bCs/>
                <w:color w:val="auto"/>
              </w:rPr>
              <w:t>H</w:t>
            </w:r>
            <w:r w:rsidR="00DB3916">
              <w:rPr>
                <w:rFonts w:ascii="Arial" w:hAnsi="Arial" w:cs="Arial"/>
                <w:b/>
                <w:bCs/>
                <w:color w:val="auto"/>
              </w:rPr>
              <w:t xml:space="preserve">ealth </w:t>
            </w:r>
            <w:r w:rsidR="002A1EBA">
              <w:rPr>
                <w:rFonts w:ascii="Arial" w:hAnsi="Arial" w:cs="Arial"/>
                <w:b/>
                <w:bCs/>
                <w:color w:val="auto"/>
              </w:rPr>
              <w:t xml:space="preserve">insurance needs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2B44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2B3975B0" w:rsidR="004D6E14" w:rsidRPr="00676A27" w:rsidRDefault="007F3B6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2B44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4161763E" w:rsidR="004D6E14" w:rsidRPr="00676A27" w:rsidRDefault="00233B2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commentRangeStart w:id="0"/>
            <w:r w:rsidRPr="00D37C7F">
              <w:rPr>
                <w:rFonts w:ascii="Arial" w:hAnsi="Arial" w:cs="Arial"/>
                <w:color w:val="FF0000"/>
                <w:sz w:val="22"/>
                <w:szCs w:val="22"/>
              </w:rPr>
              <w:t xml:space="preserve">5 </w:t>
            </w:r>
            <w:r w:rsidR="00D37C7F" w:rsidRPr="00D37C7F">
              <w:rPr>
                <w:rFonts w:ascii="Arial" w:hAnsi="Arial" w:cs="Arial"/>
                <w:color w:val="FF0000"/>
                <w:sz w:val="22"/>
                <w:szCs w:val="22"/>
              </w:rPr>
              <w:t>or 10</w:t>
            </w:r>
            <w:commentRangeEnd w:id="0"/>
            <w:r w:rsidR="00E73CE6">
              <w:rPr>
                <w:rStyle w:val="CommentReference"/>
              </w:rPr>
              <w:commentReference w:id="0"/>
            </w:r>
          </w:p>
        </w:tc>
      </w:tr>
      <w:tr w:rsidR="003B7D18" w:rsidRPr="004D6E14" w14:paraId="49BD60D9" w14:textId="77777777" w:rsidTr="002B44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B6A1" w14:textId="75C30F9A" w:rsidR="0009798B" w:rsidRDefault="0009798B" w:rsidP="00097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skill standard is for people who want to work as a financial adviser in the provision of </w:t>
            </w:r>
            <w:r w:rsidR="00E73CE6">
              <w:rPr>
                <w:rFonts w:ascii="Arial" w:hAnsi="Arial" w:cs="Arial"/>
                <w:sz w:val="22"/>
                <w:szCs w:val="22"/>
              </w:rPr>
              <w:t>l</w:t>
            </w:r>
            <w:r w:rsidR="004717F9">
              <w:rPr>
                <w:rFonts w:ascii="Arial" w:hAnsi="Arial" w:cs="Arial"/>
                <w:sz w:val="22"/>
                <w:szCs w:val="22"/>
              </w:rPr>
              <w:t xml:space="preserve">ife, </w:t>
            </w:r>
            <w:r w:rsidR="00E73CE6">
              <w:rPr>
                <w:rFonts w:ascii="Arial" w:hAnsi="Arial" w:cs="Arial"/>
                <w:sz w:val="22"/>
                <w:szCs w:val="22"/>
              </w:rPr>
              <w:t>d</w:t>
            </w:r>
            <w:r w:rsidR="004717F9">
              <w:rPr>
                <w:rFonts w:ascii="Arial" w:hAnsi="Arial" w:cs="Arial"/>
                <w:sz w:val="22"/>
                <w:szCs w:val="22"/>
              </w:rPr>
              <w:t xml:space="preserve">isability, and </w:t>
            </w:r>
            <w:r w:rsidR="00E73CE6">
              <w:rPr>
                <w:rFonts w:ascii="Arial" w:hAnsi="Arial" w:cs="Arial"/>
                <w:sz w:val="22"/>
                <w:szCs w:val="22"/>
              </w:rPr>
              <w:t>h</w:t>
            </w:r>
            <w:r w:rsidR="004717F9">
              <w:rPr>
                <w:rFonts w:ascii="Arial" w:hAnsi="Arial" w:cs="Arial"/>
                <w:sz w:val="22"/>
                <w:szCs w:val="22"/>
              </w:rPr>
              <w:t>ealth insurance</w:t>
            </w:r>
            <w:r w:rsidR="00E73CE6">
              <w:rPr>
                <w:rFonts w:ascii="Arial" w:hAnsi="Arial" w:cs="Arial"/>
                <w:sz w:val="22"/>
                <w:szCs w:val="22"/>
              </w:rPr>
              <w:t xml:space="preserve"> advice services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E73C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3A1A7F" w14:textId="66D4F620" w:rsidR="0009798B" w:rsidRDefault="0009798B" w:rsidP="00097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analyse client information to establish </w:t>
            </w:r>
            <w:r w:rsidR="00E73CE6">
              <w:rPr>
                <w:rFonts w:ascii="Arial" w:hAnsi="Arial" w:cs="Arial"/>
                <w:sz w:val="22"/>
                <w:szCs w:val="22"/>
              </w:rPr>
              <w:t>l</w:t>
            </w:r>
            <w:r w:rsidR="00DB3916">
              <w:rPr>
                <w:rFonts w:ascii="Arial" w:hAnsi="Arial" w:cs="Arial"/>
                <w:sz w:val="22"/>
                <w:szCs w:val="22"/>
              </w:rPr>
              <w:t xml:space="preserve">ife, </w:t>
            </w:r>
            <w:r w:rsidR="00E73CE6">
              <w:rPr>
                <w:rFonts w:ascii="Arial" w:hAnsi="Arial" w:cs="Arial"/>
                <w:sz w:val="22"/>
                <w:szCs w:val="22"/>
              </w:rPr>
              <w:t>d</w:t>
            </w:r>
            <w:r w:rsidR="00DB3916">
              <w:rPr>
                <w:rFonts w:ascii="Arial" w:hAnsi="Arial" w:cs="Arial"/>
                <w:sz w:val="22"/>
                <w:szCs w:val="22"/>
              </w:rPr>
              <w:t xml:space="preserve">isability and </w:t>
            </w:r>
            <w:r w:rsidR="00E73CE6">
              <w:rPr>
                <w:rFonts w:ascii="Arial" w:hAnsi="Arial" w:cs="Arial"/>
                <w:sz w:val="22"/>
                <w:szCs w:val="22"/>
              </w:rPr>
              <w:t>h</w:t>
            </w:r>
            <w:r w:rsidR="00DB3916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>
              <w:rPr>
                <w:rFonts w:ascii="Arial" w:hAnsi="Arial" w:cs="Arial"/>
                <w:sz w:val="22"/>
                <w:szCs w:val="22"/>
              </w:rPr>
              <w:t xml:space="preserve">insurance needs. </w:t>
            </w:r>
          </w:p>
          <w:p w14:paraId="326E3A3F" w14:textId="26FB3521" w:rsidR="00B077ED" w:rsidRPr="00676A27" w:rsidRDefault="0009798B" w:rsidP="00097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</w:t>
            </w:r>
            <w:r w:rsidR="00DB3916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94438B">
              <w:rPr>
                <w:rFonts w:ascii="Arial" w:hAnsi="Arial" w:cs="Arial"/>
                <w:sz w:val="22"/>
                <w:szCs w:val="22"/>
              </w:rPr>
              <w:t>Life, Disability, and Health Insurance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32154D" w14:paraId="3D9920CC" w14:textId="77777777" w:rsidTr="00671203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099A79C5" w14:textId="77777777" w:rsidR="0032154D" w:rsidRDefault="0032154D" w:rsidP="009F55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25C33">
              <w:rPr>
                <w:rFonts w:ascii="Arial" w:hAnsi="Arial" w:cs="Arial"/>
                <w:sz w:val="22"/>
                <w:szCs w:val="22"/>
              </w:rPr>
              <w:t>evelop a</w:t>
            </w:r>
            <w:r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25C33">
              <w:rPr>
                <w:rFonts w:ascii="Arial" w:hAnsi="Arial" w:cs="Arial"/>
                <w:sz w:val="22"/>
                <w:szCs w:val="22"/>
              </w:rPr>
              <w:t>understanding of 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’s situation. </w:t>
            </w:r>
          </w:p>
          <w:p w14:paraId="69F7F8F9" w14:textId="42433140" w:rsidR="0032154D" w:rsidRPr="00222548" w:rsidRDefault="0032154D" w:rsidP="0031098F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F5F6E9A" w:rsidR="0032154D" w:rsidRPr="00444B4E" w:rsidRDefault="00740534" w:rsidP="009F55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Collect quantitative and qualitative information to determine where the client is in the client’s life cycle and their circumstances</w:t>
            </w:r>
            <w:r w:rsidR="001C587F">
              <w:rPr>
                <w:rFonts w:ascii="Arial" w:hAnsi="Arial" w:cs="Arial"/>
                <w:sz w:val="22"/>
                <w:szCs w:val="22"/>
              </w:rPr>
              <w:t xml:space="preserve"> that would impact insurance needs or limitations of </w:t>
            </w:r>
            <w:r w:rsidR="0036262E">
              <w:rPr>
                <w:rFonts w:ascii="Arial" w:hAnsi="Arial" w:cs="Arial"/>
                <w:sz w:val="22"/>
                <w:szCs w:val="22"/>
              </w:rPr>
              <w:t>cover and</w:t>
            </w:r>
            <w:r w:rsidR="006260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6F4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6260A4">
              <w:rPr>
                <w:rFonts w:ascii="Arial" w:hAnsi="Arial" w:cs="Arial"/>
                <w:sz w:val="22"/>
                <w:szCs w:val="22"/>
              </w:rPr>
              <w:t>client</w:t>
            </w:r>
            <w:r w:rsidR="001436F4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1C587F">
              <w:rPr>
                <w:rFonts w:ascii="Arial" w:hAnsi="Arial" w:cs="Arial"/>
                <w:sz w:val="22"/>
                <w:szCs w:val="22"/>
              </w:rPr>
              <w:t>.</w:t>
            </w:r>
            <w:r w:rsidR="008869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154D" w14:paraId="032DD221" w14:textId="77777777" w:rsidTr="00671203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32154D" w:rsidRPr="00222548" w:rsidRDefault="0032154D" w:rsidP="009F55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31E53878" w:rsidR="0032154D" w:rsidRPr="00444B4E" w:rsidRDefault="001C587F" w:rsidP="009F55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and determine risk tolerance and risk appetite of the client</w:t>
            </w:r>
            <w:r w:rsidR="006642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154D" w14:paraId="0911C677" w14:textId="77777777" w:rsidTr="00671203">
        <w:trPr>
          <w:cantSplit/>
          <w:trHeight w:val="276"/>
          <w:tblHeader/>
        </w:trPr>
        <w:tc>
          <w:tcPr>
            <w:tcW w:w="4627" w:type="dxa"/>
            <w:vMerge/>
          </w:tcPr>
          <w:p w14:paraId="707C0694" w14:textId="77777777" w:rsidR="0032154D" w:rsidRPr="00222548" w:rsidRDefault="0032154D" w:rsidP="009F55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4C02" w14:textId="64E36A3F" w:rsidR="0032154D" w:rsidRPr="00444B4E" w:rsidRDefault="00F444C3" w:rsidP="009F55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gaps </w:t>
            </w:r>
            <w:r w:rsidR="00422E3B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collected </w:t>
            </w:r>
            <w:r w:rsidR="00422E3B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</w:rPr>
              <w:t>the client</w:t>
            </w:r>
            <w:r w:rsidR="00422E3B">
              <w:rPr>
                <w:rFonts w:ascii="Arial" w:hAnsi="Arial" w:cs="Arial"/>
                <w:sz w:val="22"/>
                <w:szCs w:val="22"/>
              </w:rPr>
              <w:t xml:space="preserve"> that is</w:t>
            </w:r>
            <w:r>
              <w:rPr>
                <w:rFonts w:ascii="Arial" w:hAnsi="Arial" w:cs="Arial"/>
                <w:sz w:val="22"/>
                <w:szCs w:val="22"/>
              </w:rPr>
              <w:t xml:space="preserve"> necessary for </w:t>
            </w:r>
            <w:r w:rsidR="00D858EE">
              <w:rPr>
                <w:rFonts w:ascii="Arial" w:hAnsi="Arial" w:cs="Arial"/>
                <w:sz w:val="22"/>
                <w:szCs w:val="22"/>
              </w:rPr>
              <w:t>insurance</w:t>
            </w:r>
            <w:r>
              <w:rPr>
                <w:rFonts w:ascii="Arial" w:hAnsi="Arial" w:cs="Arial"/>
                <w:sz w:val="22"/>
                <w:szCs w:val="22"/>
              </w:rPr>
              <w:t xml:space="preserve"> needs.</w:t>
            </w:r>
            <w:r w:rsidR="00422E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7D93" w14:paraId="4F29B907" w14:textId="77777777" w:rsidTr="00F4410C">
        <w:trPr>
          <w:cantSplit/>
          <w:trHeight w:val="585"/>
          <w:tblHeader/>
        </w:trPr>
        <w:tc>
          <w:tcPr>
            <w:tcW w:w="4627" w:type="dxa"/>
            <w:vMerge w:val="restart"/>
          </w:tcPr>
          <w:p w14:paraId="44F96AE3" w14:textId="763AFB2F" w:rsidR="005E7D93" w:rsidRPr="00222548" w:rsidRDefault="005E7D93" w:rsidP="009F55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Analyse client information to determine potential impacts on </w:t>
            </w:r>
            <w:r w:rsidR="00A60886">
              <w:rPr>
                <w:rFonts w:ascii="Arial" w:hAnsi="Arial" w:cs="Arial"/>
                <w:sz w:val="22"/>
                <w:szCs w:val="22"/>
              </w:rPr>
              <w:t xml:space="preserve">life, disability and health </w:t>
            </w:r>
            <w:r>
              <w:rPr>
                <w:rFonts w:ascii="Arial" w:hAnsi="Arial" w:cs="Arial"/>
                <w:sz w:val="22"/>
                <w:szCs w:val="22"/>
              </w:rPr>
              <w:t>insurance needs.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F8652F8" w14:textId="2112A4C5" w:rsidR="005E7D93" w:rsidRPr="00444B4E" w:rsidRDefault="005E7D93" w:rsidP="009F55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 and forecast financial risk of the client in terms of the information collected from the client</w:t>
            </w:r>
            <w:r w:rsidR="004B03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71CA" w14:paraId="5CD13126" w14:textId="77777777" w:rsidTr="00EF1D47">
        <w:trPr>
          <w:cantSplit/>
          <w:trHeight w:val="275"/>
          <w:tblHeader/>
        </w:trPr>
        <w:tc>
          <w:tcPr>
            <w:tcW w:w="4627" w:type="dxa"/>
            <w:vMerge/>
          </w:tcPr>
          <w:p w14:paraId="634A5E70" w14:textId="77777777" w:rsidR="000071CA" w:rsidRPr="00222548" w:rsidRDefault="000071CA" w:rsidP="009F55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715DD22" w14:textId="6347EA0A" w:rsidR="000071CA" w:rsidRPr="0045145D" w:rsidRDefault="0045145D" w:rsidP="00F4410C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 </w:t>
            </w:r>
            <w:r w:rsidRPr="0045145D">
              <w:rPr>
                <w:rFonts w:ascii="Arial" w:hAnsi="Arial" w:cs="Arial"/>
                <w:sz w:val="22"/>
                <w:szCs w:val="22"/>
              </w:rPr>
              <w:t>Analyse any existing client insurance</w:t>
            </w:r>
            <w:r w:rsidR="0071107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45145D">
              <w:rPr>
                <w:rFonts w:ascii="Arial" w:hAnsi="Arial" w:cs="Arial"/>
                <w:sz w:val="22"/>
                <w:szCs w:val="22"/>
              </w:rPr>
              <w:t>in line with meeting identified client needs</w:t>
            </w:r>
            <w:r w:rsidR="004B03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71CA" w14:paraId="0F45290A" w14:textId="77777777" w:rsidTr="00EF1D47">
        <w:trPr>
          <w:cantSplit/>
          <w:trHeight w:val="275"/>
          <w:tblHeader/>
        </w:trPr>
        <w:tc>
          <w:tcPr>
            <w:tcW w:w="4627" w:type="dxa"/>
            <w:vMerge/>
          </w:tcPr>
          <w:p w14:paraId="34587BF6" w14:textId="77777777" w:rsidR="000071CA" w:rsidRPr="00222548" w:rsidRDefault="000071CA" w:rsidP="009F55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1986AC7" w14:textId="459B9A7F" w:rsidR="000071CA" w:rsidRDefault="0045145D" w:rsidP="004B03FB">
            <w:pPr>
              <w:pStyle w:val="ListParagraph"/>
              <w:spacing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4B03F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Analyse client information to determine need for consultation for further assistance with other specialists.</w:t>
            </w:r>
          </w:p>
        </w:tc>
      </w:tr>
      <w:tr w:rsidR="002E313C" w14:paraId="6AAD4CC2" w14:textId="77777777" w:rsidTr="00DA795D">
        <w:trPr>
          <w:cantSplit/>
          <w:trHeight w:val="275"/>
          <w:tblHeader/>
        </w:trPr>
        <w:tc>
          <w:tcPr>
            <w:tcW w:w="4627" w:type="dxa"/>
            <w:tcBorders>
              <w:top w:val="single" w:sz="4" w:space="0" w:color="auto"/>
            </w:tcBorders>
          </w:tcPr>
          <w:p w14:paraId="05ACD3A1" w14:textId="70411663" w:rsidR="002E313C" w:rsidRPr="00222548" w:rsidRDefault="002E313C" w:rsidP="009F55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Communicate with client and guide the client through the service.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3F8A66" w14:textId="58F34334" w:rsidR="002E313C" w:rsidRPr="00444B4E" w:rsidRDefault="006142EC" w:rsidP="009F557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Consult and guide the client through the process of collecting </w:t>
            </w:r>
            <w:r w:rsidR="00E47804">
              <w:rPr>
                <w:rFonts w:ascii="Arial" w:hAnsi="Arial" w:cs="Arial"/>
                <w:sz w:val="22"/>
                <w:szCs w:val="22"/>
              </w:rPr>
              <w:t>information and</w:t>
            </w:r>
            <w:r w:rsidR="00CF4289">
              <w:rPr>
                <w:rFonts w:ascii="Arial" w:hAnsi="Arial" w:cs="Arial"/>
                <w:sz w:val="22"/>
                <w:szCs w:val="22"/>
              </w:rPr>
              <w:t xml:space="preserve"> seek any further information to build understanding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685AA7">
              <w:rPr>
                <w:rFonts w:ascii="Arial" w:hAnsi="Arial" w:cs="Arial"/>
                <w:sz w:val="22"/>
                <w:szCs w:val="22"/>
              </w:rPr>
              <w:t>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Assessment specifications:</w:t>
      </w:r>
    </w:p>
    <w:p w14:paraId="274F514C" w14:textId="77777777" w:rsidR="00061E02" w:rsidRDefault="00061E02" w:rsidP="00061E02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EE964B" w14:textId="77777777" w:rsidR="00061E02" w:rsidRDefault="00061E02" w:rsidP="00061E0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6408923C" w14:textId="77777777" w:rsidR="00061E02" w:rsidRPr="004C55EC" w:rsidRDefault="00061E02" w:rsidP="00061E0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99214E" w14:textId="77777777" w:rsidR="00061E02" w:rsidRDefault="00061E02" w:rsidP="00061E02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207909D6" w14:textId="33658CCB" w:rsidR="00B445E8" w:rsidRDefault="002B44E4" w:rsidP="00B445E8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="00B445E8" w:rsidRPr="004D1896">
        <w:rPr>
          <w:rFonts w:ascii="Arial" w:hAnsi="Arial" w:cs="Arial"/>
          <w:i/>
          <w:iCs/>
          <w:sz w:val="22"/>
          <w:szCs w:val="22"/>
        </w:rPr>
        <w:t>lient</w:t>
      </w:r>
      <w:r w:rsidR="00B445E8">
        <w:rPr>
          <w:rFonts w:ascii="Arial" w:hAnsi="Arial" w:cs="Arial"/>
          <w:sz w:val="22"/>
          <w:szCs w:val="22"/>
        </w:rPr>
        <w:t xml:space="preserve"> also includes potential clients. Clients may </w:t>
      </w:r>
      <w:r w:rsidR="00E46575">
        <w:rPr>
          <w:rFonts w:ascii="Arial" w:hAnsi="Arial" w:cs="Arial"/>
          <w:sz w:val="22"/>
          <w:szCs w:val="22"/>
        </w:rPr>
        <w:t>include</w:t>
      </w:r>
      <w:r w:rsidR="00B445E8">
        <w:rPr>
          <w:rFonts w:ascii="Arial" w:hAnsi="Arial" w:cs="Arial"/>
          <w:sz w:val="22"/>
          <w:szCs w:val="22"/>
        </w:rPr>
        <w:t xml:space="preserve"> Trust, business, individual or a purchaser of insurance. </w:t>
      </w:r>
    </w:p>
    <w:p w14:paraId="54634A4B" w14:textId="77777777" w:rsidR="00E46575" w:rsidRPr="00836D34" w:rsidRDefault="00E46575" w:rsidP="00E46575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F37BAF" w14:textId="047852BA" w:rsidR="004B03FB" w:rsidRPr="004B03FB" w:rsidRDefault="004B03FB" w:rsidP="00B445E8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4B03FB">
        <w:rPr>
          <w:rFonts w:ascii="Arial" w:hAnsi="Arial" w:cs="Arial"/>
          <w:i/>
          <w:iCs/>
          <w:sz w:val="22"/>
          <w:szCs w:val="22"/>
        </w:rPr>
        <w:t xml:space="preserve">Client insurances </w:t>
      </w:r>
      <w:r w:rsidRPr="004B03FB">
        <w:rPr>
          <w:rFonts w:ascii="Arial" w:hAnsi="Arial" w:cs="Arial"/>
          <w:sz w:val="22"/>
          <w:szCs w:val="22"/>
        </w:rPr>
        <w:t>may also be referred to as programme, policy, portfolio, contract.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525274" w14:textId="5958FE93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188534E2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4AEA9C80" w14:textId="77A37634" w:rsidR="008E31AC" w:rsidRDefault="008E31AC" w:rsidP="008E31A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Client’s</w:t>
      </w:r>
      <w:r w:rsidR="00C244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7C47">
        <w:rPr>
          <w:rFonts w:ascii="Arial" w:hAnsi="Arial" w:cs="Arial"/>
          <w:color w:val="000000" w:themeColor="text1"/>
          <w:sz w:val="22"/>
          <w:szCs w:val="22"/>
        </w:rPr>
        <w:t xml:space="preserve">personal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circumstances </w:t>
      </w:r>
    </w:p>
    <w:p w14:paraId="4D159CA0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3D29D2">
        <w:rPr>
          <w:rFonts w:ascii="Arial" w:hAnsi="Arial" w:cs="Arial"/>
          <w:sz w:val="22"/>
          <w:szCs w:val="22"/>
        </w:rPr>
        <w:t>elationship status</w:t>
      </w:r>
    </w:p>
    <w:p w14:paraId="51268B21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family structure </w:t>
      </w:r>
    </w:p>
    <w:p w14:paraId="4EB44522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 </w:t>
      </w:r>
    </w:p>
    <w:p w14:paraId="74CD0283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dependents </w:t>
      </w:r>
    </w:p>
    <w:p w14:paraId="5C3C8267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occupation/s </w:t>
      </w:r>
    </w:p>
    <w:p w14:paraId="1863A1AE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employment status (employed/self-employed) </w:t>
      </w:r>
    </w:p>
    <w:p w14:paraId="413E5824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lifestyle </w:t>
      </w:r>
    </w:p>
    <w:p w14:paraId="0FC8454F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earned incomes and passive incomes </w:t>
      </w:r>
    </w:p>
    <w:p w14:paraId="11178E37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A22429">
        <w:rPr>
          <w:rFonts w:ascii="Arial" w:hAnsi="Arial" w:cs="Arial"/>
          <w:sz w:val="22"/>
          <w:szCs w:val="22"/>
        </w:rPr>
        <w:t>household expenses</w:t>
      </w:r>
    </w:p>
    <w:p w14:paraId="4FB79564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 surplus income</w:t>
      </w:r>
    </w:p>
    <w:p w14:paraId="50EB0D1F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debt/liabilities </w:t>
      </w:r>
    </w:p>
    <w:p w14:paraId="64633866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assets</w:t>
      </w:r>
    </w:p>
    <w:p w14:paraId="4D778E99" w14:textId="77777777" w:rsidR="00FD4077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 wealth</w:t>
      </w:r>
    </w:p>
    <w:p w14:paraId="7EA672D9" w14:textId="4C565EAB" w:rsidR="00FD4077" w:rsidRPr="003D29D2" w:rsidRDefault="00FD4077" w:rsidP="00FB3339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estate planning</w:t>
      </w:r>
      <w:r w:rsidR="000516D7">
        <w:rPr>
          <w:rFonts w:ascii="Arial" w:hAnsi="Arial" w:cs="Arial"/>
          <w:sz w:val="22"/>
          <w:szCs w:val="22"/>
        </w:rPr>
        <w:t xml:space="preserve">. </w:t>
      </w:r>
    </w:p>
    <w:p w14:paraId="06398D95" w14:textId="5C661EBA" w:rsidR="000270B9" w:rsidRDefault="009F557A" w:rsidP="00FD4077">
      <w:pPr>
        <w:pStyle w:val="ListParagraph"/>
        <w:spacing w:line="24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B689EA" w14:textId="77777777" w:rsidR="00597148" w:rsidRDefault="00597148" w:rsidP="00597148">
      <w:pPr>
        <w:spacing w:line="240" w:lineRule="auto"/>
        <w:rPr>
          <w:rFonts w:ascii="Arial" w:hAnsi="Arial" w:cs="Arial"/>
          <w:sz w:val="22"/>
          <w:szCs w:val="22"/>
        </w:rPr>
      </w:pPr>
      <w:r w:rsidRPr="00597148">
        <w:rPr>
          <w:rFonts w:ascii="Arial" w:hAnsi="Arial" w:cs="Arial"/>
          <w:sz w:val="22"/>
          <w:szCs w:val="22"/>
        </w:rPr>
        <w:t>Tools for risk profiling</w:t>
      </w:r>
    </w:p>
    <w:p w14:paraId="325F581D" w14:textId="77777777" w:rsidR="0009262B" w:rsidRPr="00773782" w:rsidRDefault="0009262B" w:rsidP="00FB333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73782">
        <w:rPr>
          <w:rFonts w:ascii="Arial" w:hAnsi="Arial" w:cs="Arial"/>
          <w:sz w:val="22"/>
          <w:szCs w:val="22"/>
        </w:rPr>
        <w:t>urrent life cycle</w:t>
      </w:r>
    </w:p>
    <w:p w14:paraId="0EC40DC1" w14:textId="77777777" w:rsidR="0009262B" w:rsidRPr="00773782" w:rsidRDefault="0009262B" w:rsidP="00FB333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773782">
        <w:rPr>
          <w:rFonts w:ascii="Arial" w:hAnsi="Arial" w:cs="Arial"/>
          <w:sz w:val="22"/>
          <w:szCs w:val="22"/>
        </w:rPr>
        <w:t>inancial position</w:t>
      </w:r>
    </w:p>
    <w:p w14:paraId="125067F4" w14:textId="77777777" w:rsidR="0009262B" w:rsidRPr="00773782" w:rsidRDefault="0009262B" w:rsidP="00FB333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73782">
        <w:rPr>
          <w:rFonts w:ascii="Arial" w:hAnsi="Arial" w:cs="Arial"/>
          <w:sz w:val="22"/>
          <w:szCs w:val="22"/>
        </w:rPr>
        <w:t>xpenditure of client and surplus income</w:t>
      </w:r>
    </w:p>
    <w:p w14:paraId="31B0B004" w14:textId="77777777" w:rsidR="0009262B" w:rsidRPr="00773782" w:rsidRDefault="0009262B" w:rsidP="00FB333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73782">
        <w:rPr>
          <w:rFonts w:ascii="Arial" w:hAnsi="Arial" w:cs="Arial"/>
          <w:sz w:val="22"/>
          <w:szCs w:val="22"/>
        </w:rPr>
        <w:t>ropensity to save</w:t>
      </w:r>
    </w:p>
    <w:p w14:paraId="625D6204" w14:textId="77777777" w:rsidR="0009262B" w:rsidRDefault="0009262B" w:rsidP="00FB333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73782">
        <w:rPr>
          <w:rFonts w:ascii="Arial" w:hAnsi="Arial" w:cs="Arial"/>
          <w:sz w:val="22"/>
          <w:szCs w:val="22"/>
        </w:rPr>
        <w:t>lient’s expectations for retirement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457F56C" w14:textId="5700C86C" w:rsidR="008C76FD" w:rsidRDefault="008C76FD" w:rsidP="008C76F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risks</w:t>
      </w:r>
    </w:p>
    <w:p w14:paraId="52C94256" w14:textId="77777777" w:rsidR="00FB3339" w:rsidRDefault="00FB3339" w:rsidP="008B7582">
      <w:pPr>
        <w:pStyle w:val="ListParagraph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related to lifestyle </w:t>
      </w:r>
    </w:p>
    <w:p w14:paraId="589EB011" w14:textId="707659CA" w:rsidR="00280BA1" w:rsidRDefault="00FC3C2E" w:rsidP="00280BA1">
      <w:pPr>
        <w:spacing w:line="240" w:lineRule="auto"/>
        <w:rPr>
          <w:rFonts w:ascii="Arial" w:hAnsi="Arial" w:cs="Arial"/>
          <w:sz w:val="22"/>
          <w:szCs w:val="22"/>
        </w:rPr>
      </w:pPr>
      <w:r w:rsidRPr="0045145D">
        <w:rPr>
          <w:rFonts w:ascii="Arial" w:hAnsi="Arial" w:cs="Arial"/>
          <w:sz w:val="22"/>
          <w:szCs w:val="22"/>
        </w:rPr>
        <w:t>Analyse any existing client insurance</w:t>
      </w:r>
      <w:r>
        <w:rPr>
          <w:rFonts w:ascii="Arial" w:hAnsi="Arial" w:cs="Arial"/>
          <w:sz w:val="22"/>
          <w:szCs w:val="22"/>
        </w:rPr>
        <w:t xml:space="preserve">s </w:t>
      </w:r>
      <w:r w:rsidRPr="0045145D">
        <w:rPr>
          <w:rFonts w:ascii="Arial" w:hAnsi="Arial" w:cs="Arial"/>
          <w:sz w:val="22"/>
          <w:szCs w:val="22"/>
        </w:rPr>
        <w:t>in line with meeting identified client needs</w:t>
      </w:r>
    </w:p>
    <w:p w14:paraId="1E68D80A" w14:textId="5BDFD9BE" w:rsidR="00FC3C2E" w:rsidRPr="00FC3C2E" w:rsidRDefault="00FC3C2E" w:rsidP="008B7582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FC3C2E">
        <w:rPr>
          <w:rFonts w:ascii="Arial" w:hAnsi="Arial" w:cs="Arial"/>
          <w:sz w:val="22"/>
          <w:szCs w:val="22"/>
        </w:rPr>
        <w:t>aps</w:t>
      </w:r>
      <w:r w:rsidR="008610B9">
        <w:rPr>
          <w:rFonts w:ascii="Arial" w:hAnsi="Arial" w:cs="Arial"/>
          <w:sz w:val="22"/>
          <w:szCs w:val="22"/>
        </w:rPr>
        <w:t xml:space="preserve"> in cover</w:t>
      </w:r>
    </w:p>
    <w:p w14:paraId="2F92A8BB" w14:textId="45FE5D4A" w:rsidR="00FC3C2E" w:rsidRDefault="00FC3C2E" w:rsidP="008B7582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FC3C2E">
        <w:rPr>
          <w:rFonts w:ascii="Arial" w:hAnsi="Arial" w:cs="Arial"/>
          <w:sz w:val="22"/>
          <w:szCs w:val="22"/>
        </w:rPr>
        <w:t xml:space="preserve">uitability of existing insurances </w:t>
      </w:r>
    </w:p>
    <w:p w14:paraId="3B60FC95" w14:textId="44D17E7B" w:rsidR="00AD1667" w:rsidRPr="00FC3C2E" w:rsidRDefault="00AD1667" w:rsidP="008B7582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possibility of ability to cover </w:t>
      </w:r>
      <w:r w:rsidR="005E121D">
        <w:rPr>
          <w:rFonts w:ascii="Arial" w:hAnsi="Arial" w:cs="Arial"/>
          <w:sz w:val="22"/>
          <w:szCs w:val="22"/>
        </w:rPr>
        <w:t>gap</w:t>
      </w:r>
      <w:r w:rsidR="00C6197C">
        <w:rPr>
          <w:rFonts w:ascii="Arial" w:hAnsi="Arial" w:cs="Arial"/>
          <w:sz w:val="22"/>
          <w:szCs w:val="22"/>
        </w:rPr>
        <w:t xml:space="preserve">. </w:t>
      </w:r>
    </w:p>
    <w:p w14:paraId="39C6959E" w14:textId="6CD9E74D" w:rsidR="00855E73" w:rsidRPr="001A6A17" w:rsidRDefault="00855E73" w:rsidP="00855E7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Analyse information </w:t>
      </w:r>
      <w:r w:rsidR="00905536">
        <w:rPr>
          <w:rFonts w:ascii="Arial" w:hAnsi="Arial" w:cs="Arial"/>
          <w:sz w:val="22"/>
          <w:szCs w:val="22"/>
        </w:rPr>
        <w:t xml:space="preserve">to determine need for specialist consultation </w:t>
      </w:r>
    </w:p>
    <w:p w14:paraId="12668E51" w14:textId="77777777" w:rsidR="00855E73" w:rsidRPr="00FB019B" w:rsidRDefault="00855E73" w:rsidP="009F557A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B019B">
        <w:rPr>
          <w:rFonts w:ascii="Arial" w:hAnsi="Arial" w:cs="Arial"/>
          <w:sz w:val="22"/>
          <w:szCs w:val="22"/>
        </w:rPr>
        <w:t>legal</w:t>
      </w:r>
    </w:p>
    <w:p w14:paraId="3FDE4D08" w14:textId="77777777" w:rsidR="007A06AE" w:rsidRDefault="00855E73" w:rsidP="009F557A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B019B">
        <w:rPr>
          <w:rFonts w:ascii="Arial" w:hAnsi="Arial" w:cs="Arial"/>
          <w:sz w:val="22"/>
          <w:szCs w:val="22"/>
        </w:rPr>
        <w:t>accounting</w:t>
      </w:r>
    </w:p>
    <w:p w14:paraId="036E6A95" w14:textId="432E7DD0" w:rsidR="00855E73" w:rsidRPr="00FB019B" w:rsidRDefault="007A06AE" w:rsidP="009F557A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financial advisers</w:t>
      </w:r>
      <w:r w:rsidR="00F24C0F">
        <w:rPr>
          <w:rFonts w:ascii="Arial" w:hAnsi="Arial" w:cs="Arial"/>
          <w:sz w:val="22"/>
          <w:szCs w:val="22"/>
        </w:rPr>
        <w:t xml:space="preserve">. </w:t>
      </w: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328CFEC1" w14:textId="77777777" w:rsidR="001D59C1" w:rsidRPr="00BF242D" w:rsidRDefault="001D59C1" w:rsidP="009F557A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426" w:hanging="426"/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</w:pPr>
      <w:hyperlink r:id="rId15" w:history="1">
        <w:r w:rsidRPr="00BF242D">
          <w:rPr>
            <w:rStyle w:val="Hyperlink"/>
            <w:rFonts w:ascii="Arial" w:eastAsiaTheme="minorEastAsia" w:hAnsi="Arial" w:cs="Arial"/>
            <w:spacing w:val="-5"/>
            <w:kern w:val="24"/>
            <w:sz w:val="22"/>
            <w:szCs w:val="22"/>
            <w:lang w:eastAsia="en-US"/>
            <w14:ligatures w14:val="standard"/>
          </w:rPr>
          <w:t>Code of Professional Conduct for Financial Advice Services</w:t>
        </w:r>
      </w:hyperlink>
    </w:p>
    <w:p w14:paraId="6616043C" w14:textId="375B3E42" w:rsidR="001D59C1" w:rsidRDefault="001D59C1" w:rsidP="009F557A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Consumer Guarantees Act 1993</w:t>
      </w:r>
    </w:p>
    <w:p w14:paraId="1D72A1F1" w14:textId="77777777" w:rsidR="008904F1" w:rsidRDefault="008904F1" w:rsidP="008904F1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Contracts of Insurance Act 2024 </w:t>
      </w:r>
    </w:p>
    <w:p w14:paraId="51BB5E23" w14:textId="77777777" w:rsidR="008904F1" w:rsidRDefault="008904F1" w:rsidP="008904F1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8904F1">
        <w:rPr>
          <w:rFonts w:ascii="Arial" w:hAnsi="Arial" w:cs="Arial"/>
          <w:sz w:val="22"/>
          <w:szCs w:val="22"/>
        </w:rPr>
        <w:t>Contracts of Insurance (Repeals and Amendments) Act 2024</w:t>
      </w:r>
    </w:p>
    <w:p w14:paraId="44DBE6B4" w14:textId="77777777" w:rsidR="003713EF" w:rsidRPr="005F3721" w:rsidRDefault="003713EF" w:rsidP="000257CC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6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75AD4EA1" w14:textId="77777777" w:rsidR="001D59C1" w:rsidRDefault="001D59C1" w:rsidP="000257CC">
      <w:pPr>
        <w:pStyle w:val="ListParagraph"/>
        <w:numPr>
          <w:ilvl w:val="0"/>
          <w:numId w:val="7"/>
        </w:numPr>
        <w:spacing w:after="0" w:line="240" w:lineRule="auto"/>
        <w:ind w:left="425" w:hanging="425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Fair Trading Act 1986</w:t>
      </w:r>
    </w:p>
    <w:p w14:paraId="3D9AB8AA" w14:textId="77777777" w:rsidR="006517AF" w:rsidRPr="0066760C" w:rsidRDefault="006517AF" w:rsidP="000257CC">
      <w:pPr>
        <w:pStyle w:val="NormalWeb"/>
        <w:numPr>
          <w:ilvl w:val="0"/>
          <w:numId w:val="7"/>
        </w:numPr>
        <w:spacing w:before="0" w:beforeAutospacing="0" w:after="0" w:afterAutospacing="0"/>
        <w:ind w:left="425" w:hanging="425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7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4D0D42D7" w14:textId="77777777" w:rsidR="000257CC" w:rsidRPr="007F1FBE" w:rsidRDefault="000257CC" w:rsidP="000257CC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8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Pakinga-Lawson, Amie White, Stuart Johnson  </w:t>
      </w:r>
    </w:p>
    <w:p w14:paraId="14AE78B7" w14:textId="77777777" w:rsidR="001D59C1" w:rsidRPr="00BF242D" w:rsidRDefault="001D59C1" w:rsidP="009F557A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Financial Markets Conduct Act 2013</w:t>
      </w:r>
    </w:p>
    <w:p w14:paraId="0459D2A2" w14:textId="77777777" w:rsidR="001D59C1" w:rsidRPr="00BF242D" w:rsidRDefault="001D59C1" w:rsidP="009F557A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Financial Service Providers (Registration and Dispute Resolution) Act 2008</w:t>
      </w:r>
    </w:p>
    <w:p w14:paraId="04F255A4" w14:textId="77777777" w:rsidR="001D59C1" w:rsidRPr="00BF242D" w:rsidRDefault="001D59C1" w:rsidP="009F557A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Financial Services Legislation Amendment Act 2019</w:t>
      </w:r>
    </w:p>
    <w:p w14:paraId="5FCC1E50" w14:textId="77777777" w:rsidR="001D59C1" w:rsidRPr="00BF242D" w:rsidRDefault="001D59C1" w:rsidP="009F557A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Insurance Intermediaries Act 1994</w:t>
      </w:r>
    </w:p>
    <w:p w14:paraId="34B3C392" w14:textId="77777777" w:rsidR="001D59C1" w:rsidRPr="00BF242D" w:rsidRDefault="001D59C1" w:rsidP="009F557A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Insurance Law Reform Act 1977</w:t>
      </w:r>
    </w:p>
    <w:p w14:paraId="6F629014" w14:textId="77777777" w:rsidR="001D59C1" w:rsidRPr="00BF242D" w:rsidRDefault="001D59C1" w:rsidP="009F557A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Insurance Law Reform Act 1985</w:t>
      </w:r>
    </w:p>
    <w:p w14:paraId="333E3984" w14:textId="77777777" w:rsidR="001D59C1" w:rsidRPr="00FB57F0" w:rsidRDefault="001D59C1" w:rsidP="009F557A">
      <w:pPr>
        <w:pStyle w:val="ListParagraph"/>
        <w:numPr>
          <w:ilvl w:val="0"/>
          <w:numId w:val="8"/>
        </w:numPr>
        <w:tabs>
          <w:tab w:val="left" w:pos="709"/>
          <w:tab w:val="left" w:pos="2805"/>
        </w:tabs>
        <w:spacing w:after="0"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BF242D"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</w:rPr>
        <w:t xml:space="preserve">ISO 22222:2005 Personal Financial Planning – Requirements for personal financial planners, available from </w:t>
      </w:r>
      <w:hyperlink r:id="rId19" w:history="1">
        <w:r w:rsidRPr="00BF242D">
          <w:rPr>
            <w:rStyle w:val="Hyperlink"/>
            <w:rFonts w:ascii="Arial" w:eastAsiaTheme="minorEastAsia" w:hAnsi="Arial" w:cs="Arial"/>
            <w:spacing w:val="-5"/>
            <w:kern w:val="24"/>
            <w:sz w:val="22"/>
            <w:szCs w:val="22"/>
            <w:lang w:eastAsia="en-US"/>
          </w:rPr>
          <w:t>https://www.iso.org</w:t>
        </w:r>
      </w:hyperlink>
      <w:r w:rsidRPr="00BF242D"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</w:rPr>
        <w:t xml:space="preserve">  </w:t>
      </w:r>
    </w:p>
    <w:p w14:paraId="671E3951" w14:textId="77777777" w:rsidR="00FB57F0" w:rsidRPr="00B45670" w:rsidRDefault="00FB57F0" w:rsidP="008904F1">
      <w:pPr>
        <w:pStyle w:val="ListParagraph"/>
        <w:numPr>
          <w:ilvl w:val="0"/>
          <w:numId w:val="8"/>
        </w:numPr>
        <w:tabs>
          <w:tab w:val="left" w:pos="2805"/>
        </w:tabs>
        <w:spacing w:after="0" w:line="240" w:lineRule="auto"/>
        <w:ind w:left="426" w:hanging="426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B45670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Life Insurance Act 1908</w:t>
      </w:r>
    </w:p>
    <w:p w14:paraId="7531464E" w14:textId="4E40FA96" w:rsidR="001D59C1" w:rsidRPr="00BF242D" w:rsidRDefault="001D59C1" w:rsidP="009F557A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426" w:hanging="426"/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</w:pPr>
      <w:r w:rsidRPr="00BF242D"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  <w:t>Privacy Act 2020</w:t>
      </w:r>
    </w:p>
    <w:p w14:paraId="0FFF8485" w14:textId="77777777" w:rsidR="004E07AA" w:rsidRPr="004E07AA" w:rsidRDefault="004E06ED" w:rsidP="009853AB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426" w:hanging="426"/>
        <w:rPr>
          <w:rFonts w:ascii="Arial" w:hAnsi="Arial" w:cs="Arial"/>
          <w:color w:val="000000" w:themeColor="text1"/>
          <w:kern w:val="28"/>
          <w:sz w:val="22"/>
          <w:szCs w:val="22"/>
          <w14:ligatures w14:val="standard"/>
          <w14:cntxtAlts/>
        </w:rPr>
      </w:pPr>
      <w:r w:rsidRPr="004E07AA"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  <w:t>Relevant industry codes of conduct</w:t>
      </w:r>
      <w:r w:rsidR="004E07AA" w:rsidRPr="004E07AA"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  <w:t xml:space="preserve">; </w:t>
      </w:r>
    </w:p>
    <w:p w14:paraId="283FB04E" w14:textId="058665E4" w:rsidR="004E07AA" w:rsidRPr="004E07AA" w:rsidRDefault="004E07AA" w:rsidP="004E07AA">
      <w:pPr>
        <w:pStyle w:val="NormalWeb"/>
        <w:tabs>
          <w:tab w:val="left" w:pos="709"/>
        </w:tabs>
        <w:spacing w:before="0" w:beforeAutospacing="0" w:after="0" w:afterAutospacing="0"/>
        <w:ind w:left="426"/>
        <w:rPr>
          <w:rStyle w:val="Hyperlink"/>
          <w:rFonts w:ascii="Arial" w:hAnsi="Arial" w:cs="Arial"/>
          <w:color w:val="000000" w:themeColor="text1"/>
          <w:kern w:val="28"/>
          <w:sz w:val="22"/>
          <w:szCs w:val="22"/>
          <w:u w:val="none"/>
          <w14:ligatures w14:val="standard"/>
          <w14:cntxtAlts/>
        </w:rPr>
      </w:pPr>
      <w:r w:rsidRPr="004E07AA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and </w:t>
      </w:r>
      <w:r w:rsidRPr="004E07AA">
        <w:rPr>
          <w:rFonts w:ascii="Arial" w:hAnsi="Arial" w:cs="Arial"/>
          <w:color w:val="000000" w:themeColor="text1"/>
          <w:sz w:val="22"/>
          <w:szCs w:val="22"/>
        </w:rPr>
        <w:t xml:space="preserve">their subsequent amendments or replacements. </w:t>
      </w:r>
    </w:p>
    <w:p w14:paraId="641EEFA2" w14:textId="77777777" w:rsidR="008904F1" w:rsidRPr="00BF242D" w:rsidRDefault="008904F1" w:rsidP="008904F1">
      <w:pPr>
        <w:pStyle w:val="NormalWeb"/>
        <w:tabs>
          <w:tab w:val="left" w:pos="709"/>
        </w:tabs>
        <w:spacing w:before="0" w:beforeAutospacing="0" w:after="0" w:afterAutospacing="0"/>
        <w:ind w:left="426"/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1" w:name="_Hlk111798136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1155C11D" w:rsidR="00D70473" w:rsidRPr="002205DA" w:rsidRDefault="00624DEC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5FE8151F" w:rsidR="00D70473" w:rsidRPr="004046BA" w:rsidRDefault="002414C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Sector&gt; Financial Services&gt; Professional Practice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418B009B" w:rsidR="0053752C" w:rsidRPr="004046BA" w:rsidRDefault="00EF555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E011BF7" w:rsidR="00D70473" w:rsidRPr="004046BA" w:rsidRDefault="002F097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76895C1C" w:rsidR="00D70473" w:rsidRPr="004046BA" w:rsidRDefault="000E114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would replace 31866</w:t>
            </w:r>
            <w:r w:rsidR="009F557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FB0187A" w:rsidR="00D70473" w:rsidRPr="004046BA" w:rsidRDefault="008434C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2030 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0D436C64" w14:textId="77777777" w:rsidR="00331DEB" w:rsidRPr="00C302FE" w:rsidRDefault="00C302FE" w:rsidP="00331DEB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331DE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331DEB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20" w:history="1">
        <w:r w:rsidR="00331DEB" w:rsidRPr="00144DB2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331DE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331DEB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0E4A90A" w14:textId="6EA1E356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y Chan" w:date="2025-01-22T12:23:00Z" w:initials="SC">
    <w:p w14:paraId="2B7C3E55" w14:textId="77777777" w:rsidR="00E73CE6" w:rsidRDefault="00E73CE6" w:rsidP="00E73CE6">
      <w:pPr>
        <w:pStyle w:val="CommentText"/>
      </w:pPr>
      <w:r>
        <w:rPr>
          <w:rStyle w:val="CommentReference"/>
        </w:rPr>
        <w:annotationRef/>
      </w:r>
      <w:r>
        <w:t xml:space="preserve">Please feedback on credit value for this standard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7C3E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562F07" w16cex:dateUtc="2025-01-21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7C3E55" w16cid:durableId="2E562F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AED8" w14:textId="77777777" w:rsidR="00C30960" w:rsidRDefault="00C30960" w:rsidP="000E4D2B">
      <w:pPr>
        <w:spacing w:after="0" w:line="240" w:lineRule="auto"/>
      </w:pPr>
      <w:r>
        <w:separator/>
      </w:r>
    </w:p>
  </w:endnote>
  <w:endnote w:type="continuationSeparator" w:id="0">
    <w:p w14:paraId="1B09AEED" w14:textId="77777777" w:rsidR="00C30960" w:rsidRDefault="00C30960" w:rsidP="000E4D2B">
      <w:pPr>
        <w:spacing w:after="0" w:line="240" w:lineRule="auto"/>
      </w:pPr>
      <w:r>
        <w:continuationSeparator/>
      </w:r>
    </w:p>
  </w:endnote>
  <w:endnote w:type="continuationNotice" w:id="1">
    <w:p w14:paraId="5A1F0130" w14:textId="77777777" w:rsidR="00C30960" w:rsidRDefault="00C30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BBE8" w14:textId="77777777" w:rsidR="0030572D" w:rsidRDefault="00305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914D939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E46575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C613" w14:textId="77777777" w:rsidR="0030572D" w:rsidRDefault="00305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65D0" w14:textId="77777777" w:rsidR="00C30960" w:rsidRDefault="00C30960" w:rsidP="000E4D2B">
      <w:pPr>
        <w:spacing w:after="0" w:line="240" w:lineRule="auto"/>
      </w:pPr>
      <w:r>
        <w:separator/>
      </w:r>
    </w:p>
  </w:footnote>
  <w:footnote w:type="continuationSeparator" w:id="0">
    <w:p w14:paraId="6B5C4642" w14:textId="77777777" w:rsidR="00C30960" w:rsidRDefault="00C30960" w:rsidP="000E4D2B">
      <w:pPr>
        <w:spacing w:after="0" w:line="240" w:lineRule="auto"/>
      </w:pPr>
      <w:r>
        <w:continuationSeparator/>
      </w:r>
    </w:p>
  </w:footnote>
  <w:footnote w:type="continuationNotice" w:id="1">
    <w:p w14:paraId="79BA2A5B" w14:textId="77777777" w:rsidR="00C30960" w:rsidRDefault="00C309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C8C8" w14:textId="77777777" w:rsidR="0030572D" w:rsidRDefault="00305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719492"/>
      <w:docPartObj>
        <w:docPartGallery w:val="Watermarks"/>
        <w:docPartUnique/>
      </w:docPartObj>
    </w:sdtPr>
    <w:sdtContent>
      <w:p w14:paraId="1F365D34" w14:textId="3F49CB2A" w:rsidR="007066D6" w:rsidRDefault="00000000">
        <w:pPr>
          <w:pStyle w:val="Header"/>
        </w:pPr>
        <w:r>
          <w:rPr>
            <w:noProof/>
          </w:rPr>
          <w:pict w14:anchorId="57ED81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491470" o:spid="_x0000_s1025" type="#_x0000_t136" style="position:absolute;margin-left:0;margin-top:0;width:541.05pt;height:162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sultation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6106" w14:textId="77777777" w:rsidR="0030572D" w:rsidRDefault="00305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71D98"/>
    <w:multiLevelType w:val="hybridMultilevel"/>
    <w:tmpl w:val="3334CB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1B6D"/>
    <w:multiLevelType w:val="hybridMultilevel"/>
    <w:tmpl w:val="9C8C52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2193D"/>
    <w:multiLevelType w:val="hybridMultilevel"/>
    <w:tmpl w:val="E7EAB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43147"/>
    <w:multiLevelType w:val="hybridMultilevel"/>
    <w:tmpl w:val="37042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F04FD"/>
    <w:multiLevelType w:val="hybridMultilevel"/>
    <w:tmpl w:val="E3DAB1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22762"/>
    <w:multiLevelType w:val="hybridMultilevel"/>
    <w:tmpl w:val="E708A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FC74CF"/>
    <w:multiLevelType w:val="hybridMultilevel"/>
    <w:tmpl w:val="E2BA9C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6128">
    <w:abstractNumId w:val="1"/>
  </w:num>
  <w:num w:numId="2" w16cid:durableId="939338842">
    <w:abstractNumId w:val="10"/>
  </w:num>
  <w:num w:numId="3" w16cid:durableId="829250700">
    <w:abstractNumId w:val="9"/>
  </w:num>
  <w:num w:numId="4" w16cid:durableId="1098521021">
    <w:abstractNumId w:val="2"/>
  </w:num>
  <w:num w:numId="5" w16cid:durableId="1086147032">
    <w:abstractNumId w:val="0"/>
  </w:num>
  <w:num w:numId="6" w16cid:durableId="2040206172">
    <w:abstractNumId w:val="7"/>
  </w:num>
  <w:num w:numId="7" w16cid:durableId="820315895">
    <w:abstractNumId w:val="5"/>
  </w:num>
  <w:num w:numId="8" w16cid:durableId="466167398">
    <w:abstractNumId w:val="4"/>
  </w:num>
  <w:num w:numId="9" w16cid:durableId="1784109852">
    <w:abstractNumId w:val="11"/>
  </w:num>
  <w:num w:numId="10" w16cid:durableId="111680702">
    <w:abstractNumId w:val="6"/>
  </w:num>
  <w:num w:numId="11" w16cid:durableId="1292589354">
    <w:abstractNumId w:val="8"/>
  </w:num>
  <w:num w:numId="12" w16cid:durableId="1615014084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AFB"/>
    <w:rsid w:val="00002CE6"/>
    <w:rsid w:val="000068B9"/>
    <w:rsid w:val="000071CA"/>
    <w:rsid w:val="00011D6D"/>
    <w:rsid w:val="00012710"/>
    <w:rsid w:val="00012F02"/>
    <w:rsid w:val="000171AA"/>
    <w:rsid w:val="0002019B"/>
    <w:rsid w:val="000231B5"/>
    <w:rsid w:val="000257CC"/>
    <w:rsid w:val="000267B4"/>
    <w:rsid w:val="000270B9"/>
    <w:rsid w:val="00030C56"/>
    <w:rsid w:val="00033356"/>
    <w:rsid w:val="00044F83"/>
    <w:rsid w:val="00046B18"/>
    <w:rsid w:val="00046FFC"/>
    <w:rsid w:val="000516D7"/>
    <w:rsid w:val="00061E02"/>
    <w:rsid w:val="00070812"/>
    <w:rsid w:val="000726C3"/>
    <w:rsid w:val="00085BF7"/>
    <w:rsid w:val="0008628A"/>
    <w:rsid w:val="000904D1"/>
    <w:rsid w:val="000920E3"/>
    <w:rsid w:val="0009262B"/>
    <w:rsid w:val="000932F5"/>
    <w:rsid w:val="000941C7"/>
    <w:rsid w:val="0009798B"/>
    <w:rsid w:val="000A01B4"/>
    <w:rsid w:val="000A5CBF"/>
    <w:rsid w:val="000A755F"/>
    <w:rsid w:val="000B3A86"/>
    <w:rsid w:val="000C7321"/>
    <w:rsid w:val="000D1A7E"/>
    <w:rsid w:val="000D2E85"/>
    <w:rsid w:val="000D7AF5"/>
    <w:rsid w:val="000E114E"/>
    <w:rsid w:val="000E4D2B"/>
    <w:rsid w:val="000E5A36"/>
    <w:rsid w:val="00101F1B"/>
    <w:rsid w:val="00102389"/>
    <w:rsid w:val="001061EF"/>
    <w:rsid w:val="00110689"/>
    <w:rsid w:val="00111A32"/>
    <w:rsid w:val="00117E55"/>
    <w:rsid w:val="00130381"/>
    <w:rsid w:val="00133EE5"/>
    <w:rsid w:val="001436F4"/>
    <w:rsid w:val="00143C2A"/>
    <w:rsid w:val="00144B96"/>
    <w:rsid w:val="001516A8"/>
    <w:rsid w:val="0015191A"/>
    <w:rsid w:val="00160821"/>
    <w:rsid w:val="001709E9"/>
    <w:rsid w:val="00170D70"/>
    <w:rsid w:val="00170D99"/>
    <w:rsid w:val="00180BE0"/>
    <w:rsid w:val="001937DF"/>
    <w:rsid w:val="001A1A7D"/>
    <w:rsid w:val="001B0110"/>
    <w:rsid w:val="001B3C76"/>
    <w:rsid w:val="001C0074"/>
    <w:rsid w:val="001C2331"/>
    <w:rsid w:val="001C52D8"/>
    <w:rsid w:val="001C547E"/>
    <w:rsid w:val="001C587F"/>
    <w:rsid w:val="001D59C1"/>
    <w:rsid w:val="001D66E8"/>
    <w:rsid w:val="001E047A"/>
    <w:rsid w:val="001E0A9E"/>
    <w:rsid w:val="00205924"/>
    <w:rsid w:val="00205DCD"/>
    <w:rsid w:val="0020717C"/>
    <w:rsid w:val="002153A4"/>
    <w:rsid w:val="0021567D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33B2A"/>
    <w:rsid w:val="002409C1"/>
    <w:rsid w:val="002410A6"/>
    <w:rsid w:val="002414C3"/>
    <w:rsid w:val="00246866"/>
    <w:rsid w:val="0025519D"/>
    <w:rsid w:val="00255C11"/>
    <w:rsid w:val="00255F06"/>
    <w:rsid w:val="00256F75"/>
    <w:rsid w:val="002579E2"/>
    <w:rsid w:val="002636A4"/>
    <w:rsid w:val="0026513F"/>
    <w:rsid w:val="002667B4"/>
    <w:rsid w:val="002677AE"/>
    <w:rsid w:val="00280BA1"/>
    <w:rsid w:val="00287A7C"/>
    <w:rsid w:val="00294104"/>
    <w:rsid w:val="002A1EBA"/>
    <w:rsid w:val="002A755F"/>
    <w:rsid w:val="002A7E06"/>
    <w:rsid w:val="002B44E4"/>
    <w:rsid w:val="002B5C4C"/>
    <w:rsid w:val="002B7B23"/>
    <w:rsid w:val="002C1FC2"/>
    <w:rsid w:val="002C3D0F"/>
    <w:rsid w:val="002D240C"/>
    <w:rsid w:val="002D61DA"/>
    <w:rsid w:val="002E1280"/>
    <w:rsid w:val="002E19C0"/>
    <w:rsid w:val="002E313C"/>
    <w:rsid w:val="002E5BE6"/>
    <w:rsid w:val="002F0975"/>
    <w:rsid w:val="00303975"/>
    <w:rsid w:val="00303B4E"/>
    <w:rsid w:val="0030572D"/>
    <w:rsid w:val="0031098F"/>
    <w:rsid w:val="00312E54"/>
    <w:rsid w:val="00316436"/>
    <w:rsid w:val="00320B91"/>
    <w:rsid w:val="0032154D"/>
    <w:rsid w:val="00331DEB"/>
    <w:rsid w:val="003324AA"/>
    <w:rsid w:val="00335103"/>
    <w:rsid w:val="00337D19"/>
    <w:rsid w:val="00340A13"/>
    <w:rsid w:val="00341B19"/>
    <w:rsid w:val="0034274A"/>
    <w:rsid w:val="00342E93"/>
    <w:rsid w:val="0034342A"/>
    <w:rsid w:val="0035541A"/>
    <w:rsid w:val="00361969"/>
    <w:rsid w:val="0036262E"/>
    <w:rsid w:val="00363870"/>
    <w:rsid w:val="0036477D"/>
    <w:rsid w:val="003713EF"/>
    <w:rsid w:val="0037343F"/>
    <w:rsid w:val="0038035D"/>
    <w:rsid w:val="00395FB1"/>
    <w:rsid w:val="003A2A8A"/>
    <w:rsid w:val="003A2C75"/>
    <w:rsid w:val="003A43D4"/>
    <w:rsid w:val="003A47B2"/>
    <w:rsid w:val="003B0B83"/>
    <w:rsid w:val="003B2789"/>
    <w:rsid w:val="003B3694"/>
    <w:rsid w:val="003B5C1C"/>
    <w:rsid w:val="003B7D18"/>
    <w:rsid w:val="003C1C5F"/>
    <w:rsid w:val="003C41D7"/>
    <w:rsid w:val="003C4637"/>
    <w:rsid w:val="003C4AF8"/>
    <w:rsid w:val="003D4628"/>
    <w:rsid w:val="003E28BA"/>
    <w:rsid w:val="003E42B4"/>
    <w:rsid w:val="003F117B"/>
    <w:rsid w:val="00404124"/>
    <w:rsid w:val="004046BA"/>
    <w:rsid w:val="00413816"/>
    <w:rsid w:val="00416294"/>
    <w:rsid w:val="0041699A"/>
    <w:rsid w:val="00422E3B"/>
    <w:rsid w:val="0042401C"/>
    <w:rsid w:val="00425202"/>
    <w:rsid w:val="00430D19"/>
    <w:rsid w:val="004358AA"/>
    <w:rsid w:val="00436459"/>
    <w:rsid w:val="00441A93"/>
    <w:rsid w:val="00444B4E"/>
    <w:rsid w:val="00446C97"/>
    <w:rsid w:val="0045145D"/>
    <w:rsid w:val="00453343"/>
    <w:rsid w:val="00457C9D"/>
    <w:rsid w:val="004609D1"/>
    <w:rsid w:val="0046566B"/>
    <w:rsid w:val="00465E41"/>
    <w:rsid w:val="004717F9"/>
    <w:rsid w:val="00480EBE"/>
    <w:rsid w:val="0048579C"/>
    <w:rsid w:val="00486677"/>
    <w:rsid w:val="0049275F"/>
    <w:rsid w:val="004B03FB"/>
    <w:rsid w:val="004B4414"/>
    <w:rsid w:val="004C10F7"/>
    <w:rsid w:val="004C2510"/>
    <w:rsid w:val="004C3B66"/>
    <w:rsid w:val="004D3221"/>
    <w:rsid w:val="004D6E14"/>
    <w:rsid w:val="004E06ED"/>
    <w:rsid w:val="004E07AA"/>
    <w:rsid w:val="004E4ACB"/>
    <w:rsid w:val="004E69A1"/>
    <w:rsid w:val="004F689C"/>
    <w:rsid w:val="0050278E"/>
    <w:rsid w:val="00504F78"/>
    <w:rsid w:val="00507CB0"/>
    <w:rsid w:val="005121CA"/>
    <w:rsid w:val="00513408"/>
    <w:rsid w:val="00522345"/>
    <w:rsid w:val="00522A75"/>
    <w:rsid w:val="00527CBD"/>
    <w:rsid w:val="00533A6C"/>
    <w:rsid w:val="0053541A"/>
    <w:rsid w:val="0053752C"/>
    <w:rsid w:val="0054485C"/>
    <w:rsid w:val="005502B0"/>
    <w:rsid w:val="0055415D"/>
    <w:rsid w:val="00554D79"/>
    <w:rsid w:val="005612B9"/>
    <w:rsid w:val="00565906"/>
    <w:rsid w:val="00565952"/>
    <w:rsid w:val="00570160"/>
    <w:rsid w:val="005805F7"/>
    <w:rsid w:val="00581EA9"/>
    <w:rsid w:val="0058518D"/>
    <w:rsid w:val="00591B22"/>
    <w:rsid w:val="00597148"/>
    <w:rsid w:val="005C1EF8"/>
    <w:rsid w:val="005D1F1B"/>
    <w:rsid w:val="005D6155"/>
    <w:rsid w:val="005E121D"/>
    <w:rsid w:val="005E7D93"/>
    <w:rsid w:val="005F09F0"/>
    <w:rsid w:val="006001FF"/>
    <w:rsid w:val="00607FD5"/>
    <w:rsid w:val="00610626"/>
    <w:rsid w:val="00611A61"/>
    <w:rsid w:val="006142EC"/>
    <w:rsid w:val="00621637"/>
    <w:rsid w:val="006221B9"/>
    <w:rsid w:val="00623D26"/>
    <w:rsid w:val="00624205"/>
    <w:rsid w:val="00624DEC"/>
    <w:rsid w:val="006260A4"/>
    <w:rsid w:val="00626BDB"/>
    <w:rsid w:val="00637579"/>
    <w:rsid w:val="00637D66"/>
    <w:rsid w:val="00642A71"/>
    <w:rsid w:val="006517AF"/>
    <w:rsid w:val="0065754A"/>
    <w:rsid w:val="00664203"/>
    <w:rsid w:val="00664DAB"/>
    <w:rsid w:val="00667EF5"/>
    <w:rsid w:val="006703C3"/>
    <w:rsid w:val="00671662"/>
    <w:rsid w:val="0067411A"/>
    <w:rsid w:val="00676A27"/>
    <w:rsid w:val="006775EA"/>
    <w:rsid w:val="0068149C"/>
    <w:rsid w:val="00683B96"/>
    <w:rsid w:val="006858E2"/>
    <w:rsid w:val="00685AA7"/>
    <w:rsid w:val="006904C4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27B8"/>
    <w:rsid w:val="006D3A19"/>
    <w:rsid w:val="006E041E"/>
    <w:rsid w:val="006F1206"/>
    <w:rsid w:val="006F7960"/>
    <w:rsid w:val="0070327C"/>
    <w:rsid w:val="007066D6"/>
    <w:rsid w:val="00711071"/>
    <w:rsid w:val="0071395E"/>
    <w:rsid w:val="00721CCA"/>
    <w:rsid w:val="00731529"/>
    <w:rsid w:val="007352E8"/>
    <w:rsid w:val="00740534"/>
    <w:rsid w:val="00740A64"/>
    <w:rsid w:val="00742373"/>
    <w:rsid w:val="00742982"/>
    <w:rsid w:val="00743153"/>
    <w:rsid w:val="00743958"/>
    <w:rsid w:val="00745727"/>
    <w:rsid w:val="0076458C"/>
    <w:rsid w:val="007678CF"/>
    <w:rsid w:val="0077053D"/>
    <w:rsid w:val="00774093"/>
    <w:rsid w:val="00775492"/>
    <w:rsid w:val="007809EA"/>
    <w:rsid w:val="007949D6"/>
    <w:rsid w:val="007955DF"/>
    <w:rsid w:val="00795A66"/>
    <w:rsid w:val="007A01A7"/>
    <w:rsid w:val="007A06AE"/>
    <w:rsid w:val="007A4A26"/>
    <w:rsid w:val="007B3701"/>
    <w:rsid w:val="007D1851"/>
    <w:rsid w:val="007D1F85"/>
    <w:rsid w:val="007D4A73"/>
    <w:rsid w:val="007D50B5"/>
    <w:rsid w:val="007D7A21"/>
    <w:rsid w:val="007E19FF"/>
    <w:rsid w:val="007E4735"/>
    <w:rsid w:val="007F061B"/>
    <w:rsid w:val="007F10EE"/>
    <w:rsid w:val="007F22D5"/>
    <w:rsid w:val="007F3B66"/>
    <w:rsid w:val="008003E6"/>
    <w:rsid w:val="0080178F"/>
    <w:rsid w:val="0080200B"/>
    <w:rsid w:val="0080585F"/>
    <w:rsid w:val="00807460"/>
    <w:rsid w:val="00815C95"/>
    <w:rsid w:val="008166EF"/>
    <w:rsid w:val="00831880"/>
    <w:rsid w:val="00834A67"/>
    <w:rsid w:val="0084301A"/>
    <w:rsid w:val="008434CE"/>
    <w:rsid w:val="0085438E"/>
    <w:rsid w:val="00855E73"/>
    <w:rsid w:val="00856EFD"/>
    <w:rsid w:val="008610B9"/>
    <w:rsid w:val="008622B2"/>
    <w:rsid w:val="0086279F"/>
    <w:rsid w:val="0086612C"/>
    <w:rsid w:val="00872866"/>
    <w:rsid w:val="00882C82"/>
    <w:rsid w:val="00885892"/>
    <w:rsid w:val="00886957"/>
    <w:rsid w:val="008874DE"/>
    <w:rsid w:val="008904F1"/>
    <w:rsid w:val="00890F0D"/>
    <w:rsid w:val="00891F57"/>
    <w:rsid w:val="0089229E"/>
    <w:rsid w:val="00893076"/>
    <w:rsid w:val="008947F4"/>
    <w:rsid w:val="008A0902"/>
    <w:rsid w:val="008A4CC7"/>
    <w:rsid w:val="008B7582"/>
    <w:rsid w:val="008C2B13"/>
    <w:rsid w:val="008C76FD"/>
    <w:rsid w:val="008D726D"/>
    <w:rsid w:val="008E0554"/>
    <w:rsid w:val="008E31AC"/>
    <w:rsid w:val="008E5996"/>
    <w:rsid w:val="008E7799"/>
    <w:rsid w:val="008F28CC"/>
    <w:rsid w:val="00905379"/>
    <w:rsid w:val="00905536"/>
    <w:rsid w:val="00906956"/>
    <w:rsid w:val="009114F6"/>
    <w:rsid w:val="00915891"/>
    <w:rsid w:val="00921812"/>
    <w:rsid w:val="009251BB"/>
    <w:rsid w:val="0092729C"/>
    <w:rsid w:val="00935F3B"/>
    <w:rsid w:val="0093759E"/>
    <w:rsid w:val="0094090A"/>
    <w:rsid w:val="0094438B"/>
    <w:rsid w:val="00944B88"/>
    <w:rsid w:val="009477E6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77D32"/>
    <w:rsid w:val="0099335A"/>
    <w:rsid w:val="009A68FE"/>
    <w:rsid w:val="009A7C7A"/>
    <w:rsid w:val="009B173D"/>
    <w:rsid w:val="009C1310"/>
    <w:rsid w:val="009C27C0"/>
    <w:rsid w:val="009C34FD"/>
    <w:rsid w:val="009D2037"/>
    <w:rsid w:val="009D2E2C"/>
    <w:rsid w:val="009D3FE0"/>
    <w:rsid w:val="009D5DDD"/>
    <w:rsid w:val="009D6D3F"/>
    <w:rsid w:val="009E7A4B"/>
    <w:rsid w:val="009F0A3B"/>
    <w:rsid w:val="009F2220"/>
    <w:rsid w:val="009F2920"/>
    <w:rsid w:val="009F557A"/>
    <w:rsid w:val="00A04CA9"/>
    <w:rsid w:val="00A135D5"/>
    <w:rsid w:val="00A16B94"/>
    <w:rsid w:val="00A2114B"/>
    <w:rsid w:val="00A21BB1"/>
    <w:rsid w:val="00A2260E"/>
    <w:rsid w:val="00A23CDF"/>
    <w:rsid w:val="00A25A4D"/>
    <w:rsid w:val="00A3138C"/>
    <w:rsid w:val="00A3798E"/>
    <w:rsid w:val="00A4123A"/>
    <w:rsid w:val="00A46233"/>
    <w:rsid w:val="00A524A8"/>
    <w:rsid w:val="00A56819"/>
    <w:rsid w:val="00A56E29"/>
    <w:rsid w:val="00A60886"/>
    <w:rsid w:val="00A61483"/>
    <w:rsid w:val="00A62330"/>
    <w:rsid w:val="00A65988"/>
    <w:rsid w:val="00A6695B"/>
    <w:rsid w:val="00A7536B"/>
    <w:rsid w:val="00A75491"/>
    <w:rsid w:val="00A77A4F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B77B2"/>
    <w:rsid w:val="00AC4574"/>
    <w:rsid w:val="00AC672D"/>
    <w:rsid w:val="00AD1667"/>
    <w:rsid w:val="00AD2D81"/>
    <w:rsid w:val="00AE29B3"/>
    <w:rsid w:val="00AE514B"/>
    <w:rsid w:val="00AE633B"/>
    <w:rsid w:val="00AF5E43"/>
    <w:rsid w:val="00B00002"/>
    <w:rsid w:val="00B01D44"/>
    <w:rsid w:val="00B077ED"/>
    <w:rsid w:val="00B121C8"/>
    <w:rsid w:val="00B16249"/>
    <w:rsid w:val="00B16686"/>
    <w:rsid w:val="00B16AF0"/>
    <w:rsid w:val="00B353DC"/>
    <w:rsid w:val="00B43186"/>
    <w:rsid w:val="00B445E8"/>
    <w:rsid w:val="00B467A6"/>
    <w:rsid w:val="00B50A46"/>
    <w:rsid w:val="00B606E1"/>
    <w:rsid w:val="00B65F0A"/>
    <w:rsid w:val="00B778F8"/>
    <w:rsid w:val="00B77D7F"/>
    <w:rsid w:val="00B80B77"/>
    <w:rsid w:val="00B811C1"/>
    <w:rsid w:val="00B91BFE"/>
    <w:rsid w:val="00B92EA6"/>
    <w:rsid w:val="00B95260"/>
    <w:rsid w:val="00B971AE"/>
    <w:rsid w:val="00BA6AED"/>
    <w:rsid w:val="00BB0448"/>
    <w:rsid w:val="00BB0A3B"/>
    <w:rsid w:val="00BB2B08"/>
    <w:rsid w:val="00BB3927"/>
    <w:rsid w:val="00BB468E"/>
    <w:rsid w:val="00BC1AF3"/>
    <w:rsid w:val="00BC672F"/>
    <w:rsid w:val="00BD051E"/>
    <w:rsid w:val="00BD1007"/>
    <w:rsid w:val="00BD54C8"/>
    <w:rsid w:val="00BD5661"/>
    <w:rsid w:val="00BE2D6A"/>
    <w:rsid w:val="00BF088E"/>
    <w:rsid w:val="00BF242D"/>
    <w:rsid w:val="00BF27DA"/>
    <w:rsid w:val="00BF60F0"/>
    <w:rsid w:val="00C0669C"/>
    <w:rsid w:val="00C11088"/>
    <w:rsid w:val="00C11C66"/>
    <w:rsid w:val="00C12446"/>
    <w:rsid w:val="00C244C4"/>
    <w:rsid w:val="00C2556C"/>
    <w:rsid w:val="00C302FE"/>
    <w:rsid w:val="00C306C6"/>
    <w:rsid w:val="00C30960"/>
    <w:rsid w:val="00C33769"/>
    <w:rsid w:val="00C41C4A"/>
    <w:rsid w:val="00C447AA"/>
    <w:rsid w:val="00C4498B"/>
    <w:rsid w:val="00C45735"/>
    <w:rsid w:val="00C46050"/>
    <w:rsid w:val="00C52F5A"/>
    <w:rsid w:val="00C60F7A"/>
    <w:rsid w:val="00C6197C"/>
    <w:rsid w:val="00C626FF"/>
    <w:rsid w:val="00C634AF"/>
    <w:rsid w:val="00C66E7B"/>
    <w:rsid w:val="00C929E9"/>
    <w:rsid w:val="00C92B9E"/>
    <w:rsid w:val="00C93898"/>
    <w:rsid w:val="00C93E02"/>
    <w:rsid w:val="00C94B8E"/>
    <w:rsid w:val="00C9722F"/>
    <w:rsid w:val="00CB16F1"/>
    <w:rsid w:val="00CB490C"/>
    <w:rsid w:val="00CB7F5F"/>
    <w:rsid w:val="00CC420E"/>
    <w:rsid w:val="00CC4978"/>
    <w:rsid w:val="00CC5554"/>
    <w:rsid w:val="00CD1012"/>
    <w:rsid w:val="00CE0D1F"/>
    <w:rsid w:val="00CE1515"/>
    <w:rsid w:val="00CE1BDE"/>
    <w:rsid w:val="00CE3600"/>
    <w:rsid w:val="00CF4289"/>
    <w:rsid w:val="00D011F0"/>
    <w:rsid w:val="00D02EEC"/>
    <w:rsid w:val="00D04AD6"/>
    <w:rsid w:val="00D10AAB"/>
    <w:rsid w:val="00D15FDE"/>
    <w:rsid w:val="00D20B3A"/>
    <w:rsid w:val="00D26450"/>
    <w:rsid w:val="00D27075"/>
    <w:rsid w:val="00D27855"/>
    <w:rsid w:val="00D37C7F"/>
    <w:rsid w:val="00D37D0C"/>
    <w:rsid w:val="00D41E24"/>
    <w:rsid w:val="00D433D4"/>
    <w:rsid w:val="00D452DE"/>
    <w:rsid w:val="00D60562"/>
    <w:rsid w:val="00D70473"/>
    <w:rsid w:val="00D71EDC"/>
    <w:rsid w:val="00D75F27"/>
    <w:rsid w:val="00D777AF"/>
    <w:rsid w:val="00D8228F"/>
    <w:rsid w:val="00D858EE"/>
    <w:rsid w:val="00D874C6"/>
    <w:rsid w:val="00DA0170"/>
    <w:rsid w:val="00DA7B50"/>
    <w:rsid w:val="00DB3916"/>
    <w:rsid w:val="00DC03FF"/>
    <w:rsid w:val="00DC12F6"/>
    <w:rsid w:val="00DC70E1"/>
    <w:rsid w:val="00DC7A0E"/>
    <w:rsid w:val="00DD25DC"/>
    <w:rsid w:val="00DD7BB6"/>
    <w:rsid w:val="00DD7C47"/>
    <w:rsid w:val="00DE05EA"/>
    <w:rsid w:val="00DF0769"/>
    <w:rsid w:val="00DF7D51"/>
    <w:rsid w:val="00E00365"/>
    <w:rsid w:val="00E01062"/>
    <w:rsid w:val="00E029B2"/>
    <w:rsid w:val="00E04A1C"/>
    <w:rsid w:val="00E07C46"/>
    <w:rsid w:val="00E13F50"/>
    <w:rsid w:val="00E17FC2"/>
    <w:rsid w:val="00E209B0"/>
    <w:rsid w:val="00E31360"/>
    <w:rsid w:val="00E32D32"/>
    <w:rsid w:val="00E33C29"/>
    <w:rsid w:val="00E34D40"/>
    <w:rsid w:val="00E3621B"/>
    <w:rsid w:val="00E412D7"/>
    <w:rsid w:val="00E42403"/>
    <w:rsid w:val="00E445AC"/>
    <w:rsid w:val="00E46575"/>
    <w:rsid w:val="00E46583"/>
    <w:rsid w:val="00E47804"/>
    <w:rsid w:val="00E50971"/>
    <w:rsid w:val="00E51EC5"/>
    <w:rsid w:val="00E54639"/>
    <w:rsid w:val="00E54923"/>
    <w:rsid w:val="00E655F7"/>
    <w:rsid w:val="00E6749F"/>
    <w:rsid w:val="00E73CE6"/>
    <w:rsid w:val="00E747C4"/>
    <w:rsid w:val="00E74E68"/>
    <w:rsid w:val="00E84248"/>
    <w:rsid w:val="00E90628"/>
    <w:rsid w:val="00E969D2"/>
    <w:rsid w:val="00E96A49"/>
    <w:rsid w:val="00EA07E6"/>
    <w:rsid w:val="00EB0F05"/>
    <w:rsid w:val="00ED0203"/>
    <w:rsid w:val="00ED2FC6"/>
    <w:rsid w:val="00ED7C44"/>
    <w:rsid w:val="00EF5557"/>
    <w:rsid w:val="00F00CD8"/>
    <w:rsid w:val="00F050FB"/>
    <w:rsid w:val="00F12923"/>
    <w:rsid w:val="00F16271"/>
    <w:rsid w:val="00F17EC7"/>
    <w:rsid w:val="00F20C03"/>
    <w:rsid w:val="00F22B46"/>
    <w:rsid w:val="00F24C0F"/>
    <w:rsid w:val="00F2560A"/>
    <w:rsid w:val="00F36051"/>
    <w:rsid w:val="00F43CA7"/>
    <w:rsid w:val="00F4410C"/>
    <w:rsid w:val="00F444C3"/>
    <w:rsid w:val="00F45962"/>
    <w:rsid w:val="00F460B5"/>
    <w:rsid w:val="00F46C26"/>
    <w:rsid w:val="00F50A6B"/>
    <w:rsid w:val="00F55801"/>
    <w:rsid w:val="00F66119"/>
    <w:rsid w:val="00F71AA8"/>
    <w:rsid w:val="00F723DF"/>
    <w:rsid w:val="00F77122"/>
    <w:rsid w:val="00F77D18"/>
    <w:rsid w:val="00F80ECE"/>
    <w:rsid w:val="00F845A3"/>
    <w:rsid w:val="00FB3339"/>
    <w:rsid w:val="00FB44FD"/>
    <w:rsid w:val="00FB57F0"/>
    <w:rsid w:val="00FC3C2E"/>
    <w:rsid w:val="00FC6691"/>
    <w:rsid w:val="00FC7966"/>
    <w:rsid w:val="00FD4077"/>
    <w:rsid w:val="00FE3F79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1D59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fma.govt.nz/assets/Research/Understanding-Artificial-Intelligence-in-Financial-Services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fma.govt.nz/assets/Information-sheets/Developing-cyber-resilience-for-financial-advice-providers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ma.govt.nz/assets/Reports/CustomerVulnerability-ourexpectationsforproviders.pdf" TargetMode="External"/><Relationship Id="rId20" Type="http://schemas.openxmlformats.org/officeDocument/2006/relationships/hyperlink" Target="mailto:qualifications@ringahora.n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financialadvicecode.govt.nz/wp-content/uploads/2021/03/codeofprofessionalconduct-march2021.pdf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iso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6A61E-EFE3-46C3-88C0-7E30FF871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4</cp:revision>
  <cp:lastPrinted>2023-05-01T02:03:00Z</cp:lastPrinted>
  <dcterms:created xsi:type="dcterms:W3CDTF">2025-01-21T23:27:00Z</dcterms:created>
  <dcterms:modified xsi:type="dcterms:W3CDTF">2025-01-21T23:54:00Z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