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27453779" w:rsidR="007066D6" w:rsidRDefault="00051F55" w:rsidP="007066D6">
            <w:pPr>
              <w:pStyle w:val="Heading1"/>
              <w:spacing w:line="240" w:lineRule="auto"/>
              <w:rPr>
                <w:rFonts w:ascii="Arial" w:hAnsi="Arial" w:cs="Arial"/>
                <w:b/>
                <w:bCs/>
                <w:color w:val="auto"/>
              </w:rPr>
            </w:pPr>
            <w:r>
              <w:rPr>
                <w:rFonts w:ascii="Arial" w:hAnsi="Arial" w:cs="Arial"/>
                <w:b/>
                <w:bCs/>
                <w:color w:val="auto"/>
              </w:rPr>
              <w:t>3</w:t>
            </w:r>
          </w:p>
        </w:tc>
        <w:tc>
          <w:tcPr>
            <w:tcW w:w="8060" w:type="dxa"/>
          </w:tcPr>
          <w:p w14:paraId="512FDC1E" w14:textId="7197B31D" w:rsidR="007066D6" w:rsidRPr="004D6E14" w:rsidRDefault="008477F8" w:rsidP="007066D6">
            <w:pPr>
              <w:pStyle w:val="Heading1"/>
              <w:spacing w:line="240" w:lineRule="auto"/>
              <w:ind w:right="178"/>
              <w:rPr>
                <w:rFonts w:ascii="Arial" w:hAnsi="Arial" w:cs="Arial"/>
                <w:b/>
                <w:bCs/>
                <w:color w:val="auto"/>
              </w:rPr>
            </w:pPr>
            <w:r>
              <w:rPr>
                <w:rFonts w:ascii="Arial" w:hAnsi="Arial" w:cs="Arial"/>
                <w:b/>
                <w:bCs/>
                <w:color w:val="auto"/>
              </w:rPr>
              <w:t xml:space="preserve">Apply </w:t>
            </w:r>
            <w:r w:rsidR="002E69B1">
              <w:rPr>
                <w:rFonts w:ascii="Arial" w:hAnsi="Arial" w:cs="Arial"/>
                <w:b/>
                <w:bCs/>
                <w:color w:val="auto"/>
              </w:rPr>
              <w:t xml:space="preserve">knowledge of </w:t>
            </w:r>
            <w:r w:rsidR="00A10938">
              <w:rPr>
                <w:rFonts w:ascii="Arial" w:hAnsi="Arial" w:cs="Arial"/>
                <w:b/>
                <w:bCs/>
                <w:color w:val="auto"/>
              </w:rPr>
              <w:t xml:space="preserve">investment </w:t>
            </w:r>
            <w:r w:rsidR="00C47167">
              <w:rPr>
                <w:rFonts w:ascii="Arial" w:hAnsi="Arial" w:cs="Arial"/>
                <w:b/>
                <w:bCs/>
                <w:color w:val="auto"/>
              </w:rPr>
              <w:t>assets, services</w:t>
            </w:r>
            <w:r w:rsidR="000E613D">
              <w:rPr>
                <w:rFonts w:ascii="Arial" w:hAnsi="Arial" w:cs="Arial"/>
                <w:b/>
                <w:bCs/>
                <w:color w:val="auto"/>
              </w:rPr>
              <w:t>,</w:t>
            </w:r>
            <w:r w:rsidR="00C47167">
              <w:rPr>
                <w:rFonts w:ascii="Arial" w:hAnsi="Arial" w:cs="Arial"/>
                <w:b/>
                <w:bCs/>
                <w:color w:val="auto"/>
              </w:rPr>
              <w:t xml:space="preserve"> and financial instruments </w:t>
            </w:r>
            <w:r w:rsidR="00A93C94">
              <w:rPr>
                <w:rFonts w:ascii="Arial" w:hAnsi="Arial" w:cs="Arial"/>
                <w:b/>
                <w:bCs/>
                <w:color w:val="auto"/>
              </w:rPr>
              <w:t xml:space="preserve">to meet client needs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C04E5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2A416CFC" w:rsidR="004D6E14" w:rsidRPr="00676A27" w:rsidRDefault="009B0C21" w:rsidP="00DC70E1">
            <w:pPr>
              <w:spacing w:line="240" w:lineRule="auto"/>
              <w:rPr>
                <w:rFonts w:ascii="Arial" w:hAnsi="Arial" w:cs="Arial"/>
                <w:sz w:val="22"/>
                <w:szCs w:val="22"/>
              </w:rPr>
            </w:pPr>
            <w:r>
              <w:rPr>
                <w:rFonts w:ascii="Arial" w:hAnsi="Arial" w:cs="Arial"/>
                <w:sz w:val="22"/>
                <w:szCs w:val="22"/>
              </w:rPr>
              <w:t xml:space="preserve">5 </w:t>
            </w:r>
          </w:p>
        </w:tc>
      </w:tr>
      <w:tr w:rsidR="003B7D18" w:rsidRPr="004D6E14" w14:paraId="319AEFDB" w14:textId="77777777" w:rsidTr="00C04E5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57B8E8DE" w:rsidR="004D6E14" w:rsidRPr="00676A27" w:rsidRDefault="00BD0DF2" w:rsidP="00DC70E1">
            <w:pPr>
              <w:spacing w:line="240" w:lineRule="auto"/>
              <w:rPr>
                <w:rFonts w:ascii="Arial" w:hAnsi="Arial" w:cs="Arial"/>
                <w:sz w:val="22"/>
                <w:szCs w:val="22"/>
              </w:rPr>
            </w:pPr>
            <w:r>
              <w:rPr>
                <w:rFonts w:ascii="Arial" w:hAnsi="Arial" w:cs="Arial"/>
                <w:sz w:val="22"/>
                <w:szCs w:val="22"/>
              </w:rPr>
              <w:t xml:space="preserve">10 </w:t>
            </w:r>
          </w:p>
        </w:tc>
      </w:tr>
      <w:tr w:rsidR="003B7D18" w:rsidRPr="004D6E14" w14:paraId="49BD60D9" w14:textId="77777777" w:rsidTr="00C04E5E">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2C8DF528" w14:textId="29B6E8EB" w:rsidR="003038B4" w:rsidRDefault="003038B4" w:rsidP="003038B4">
            <w:pPr>
              <w:spacing w:line="240" w:lineRule="auto"/>
              <w:rPr>
                <w:rFonts w:ascii="Arial" w:hAnsi="Arial" w:cs="Arial"/>
                <w:sz w:val="22"/>
                <w:szCs w:val="22"/>
              </w:rPr>
            </w:pPr>
            <w:r>
              <w:rPr>
                <w:rFonts w:ascii="Arial" w:hAnsi="Arial" w:cs="Arial"/>
                <w:sz w:val="22"/>
                <w:szCs w:val="22"/>
              </w:rPr>
              <w:t xml:space="preserve">The purpose of this skill standard is for people who want to work as a financial adviser in the provision of </w:t>
            </w:r>
            <w:r w:rsidR="00FD5B02">
              <w:rPr>
                <w:rFonts w:ascii="Arial" w:hAnsi="Arial" w:cs="Arial"/>
                <w:sz w:val="22"/>
                <w:szCs w:val="22"/>
              </w:rPr>
              <w:t xml:space="preserve">investment </w:t>
            </w:r>
            <w:r>
              <w:rPr>
                <w:rFonts w:ascii="Arial" w:hAnsi="Arial" w:cs="Arial"/>
                <w:sz w:val="22"/>
                <w:szCs w:val="22"/>
              </w:rPr>
              <w:t xml:space="preserve">advice. </w:t>
            </w:r>
          </w:p>
          <w:p w14:paraId="5D02D04D" w14:textId="5B226CBF" w:rsidR="003038B4" w:rsidRDefault="003038B4" w:rsidP="003038B4">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0A93C94">
              <w:rPr>
                <w:rFonts w:ascii="Arial" w:hAnsi="Arial" w:cs="Arial"/>
                <w:sz w:val="22"/>
                <w:szCs w:val="22"/>
              </w:rPr>
              <w:t xml:space="preserve">apply knowledge of </w:t>
            </w:r>
            <w:r w:rsidR="000E613D">
              <w:rPr>
                <w:rFonts w:ascii="Arial" w:hAnsi="Arial" w:cs="Arial"/>
                <w:sz w:val="22"/>
                <w:szCs w:val="22"/>
              </w:rPr>
              <w:t>investment assets, services, and financial instruments to meet client needs</w:t>
            </w:r>
            <w:r>
              <w:rPr>
                <w:rFonts w:ascii="Arial" w:hAnsi="Arial" w:cs="Arial"/>
                <w:sz w:val="22"/>
                <w:szCs w:val="22"/>
              </w:rPr>
              <w:t xml:space="preserve">. </w:t>
            </w:r>
          </w:p>
          <w:p w14:paraId="326E3A3F" w14:textId="45F436EA" w:rsidR="00B077ED" w:rsidRPr="00676A27" w:rsidRDefault="003038B4" w:rsidP="003038B4">
            <w:pPr>
              <w:spacing w:line="240" w:lineRule="auto"/>
              <w:rPr>
                <w:rFonts w:ascii="Arial" w:hAnsi="Arial" w:cs="Arial"/>
                <w:sz w:val="22"/>
                <w:szCs w:val="22"/>
              </w:rPr>
            </w:pPr>
            <w:r>
              <w:rPr>
                <w:rFonts w:ascii="Arial" w:hAnsi="Arial" w:cs="Arial"/>
                <w:sz w:val="22"/>
                <w:szCs w:val="22"/>
              </w:rPr>
              <w:t>This skill standard has been developed primarily for the assessment within programmes leading to the New Zealand Certificate in Financial Services (Level 5) with strand</w:t>
            </w:r>
            <w:r w:rsidR="000E613D">
              <w:rPr>
                <w:rFonts w:ascii="Arial" w:hAnsi="Arial" w:cs="Arial"/>
                <w:sz w:val="22"/>
                <w:szCs w:val="22"/>
              </w:rPr>
              <w:t xml:space="preserve"> in Investment</w:t>
            </w:r>
            <w:r>
              <w:rPr>
                <w:rFonts w:ascii="Arial" w:hAnsi="Arial" w:cs="Arial"/>
                <w:sz w:val="22"/>
                <w:szCs w:val="22"/>
              </w:rPr>
              <w:t>.</w:t>
            </w:r>
            <w:r w:rsidR="000E613D">
              <w:rPr>
                <w:rFonts w:ascii="Arial" w:hAnsi="Arial" w:cs="Arial"/>
                <w:sz w:val="22"/>
                <w:szCs w:val="22"/>
              </w:rPr>
              <w:t xml:space="preserve">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83AB8" w14:paraId="73295F56" w14:textId="77777777" w:rsidTr="00176AE2">
        <w:trPr>
          <w:cantSplit/>
          <w:trHeight w:val="276"/>
          <w:tblHeader/>
        </w:trPr>
        <w:tc>
          <w:tcPr>
            <w:tcW w:w="4627" w:type="dxa"/>
            <w:vMerge w:val="restart"/>
          </w:tcPr>
          <w:p w14:paraId="49DE81B6" w14:textId="0DF72E27" w:rsidR="00683AB8" w:rsidRDefault="00683AB8" w:rsidP="008E23CB">
            <w:pPr>
              <w:pStyle w:val="ListParagraph"/>
              <w:numPr>
                <w:ilvl w:val="0"/>
                <w:numId w:val="1"/>
              </w:numPr>
              <w:spacing w:line="240" w:lineRule="auto"/>
              <w:rPr>
                <w:rFonts w:ascii="Arial" w:hAnsi="Arial" w:cs="Arial"/>
                <w:sz w:val="22"/>
                <w:szCs w:val="22"/>
              </w:rPr>
            </w:pPr>
            <w:r>
              <w:rPr>
                <w:rFonts w:ascii="Arial" w:hAnsi="Arial" w:cs="Arial"/>
                <w:sz w:val="22"/>
                <w:szCs w:val="22"/>
              </w:rPr>
              <w:t>Apply knowledge of investment assets classes, financial instruments,</w:t>
            </w:r>
            <w:r w:rsidR="00C91E15">
              <w:rPr>
                <w:rFonts w:ascii="Arial" w:hAnsi="Arial" w:cs="Arial"/>
                <w:sz w:val="22"/>
                <w:szCs w:val="22"/>
              </w:rPr>
              <w:t xml:space="preserve"> and</w:t>
            </w:r>
            <w:r>
              <w:rPr>
                <w:rFonts w:ascii="Arial" w:hAnsi="Arial" w:cs="Arial"/>
                <w:sz w:val="22"/>
                <w:szCs w:val="22"/>
              </w:rPr>
              <w:t xml:space="preserve"> investment services</w:t>
            </w:r>
            <w:r w:rsidR="00C91E15">
              <w:rPr>
                <w:rFonts w:ascii="Arial" w:hAnsi="Arial" w:cs="Arial"/>
                <w:sz w:val="22"/>
                <w:szCs w:val="22"/>
              </w:rPr>
              <w:t xml:space="preserve">. </w:t>
            </w:r>
          </w:p>
        </w:tc>
        <w:tc>
          <w:tcPr>
            <w:tcW w:w="5341" w:type="dxa"/>
            <w:tcBorders>
              <w:top w:val="single" w:sz="4" w:space="0" w:color="auto"/>
              <w:bottom w:val="single" w:sz="4" w:space="0" w:color="auto"/>
            </w:tcBorders>
          </w:tcPr>
          <w:p w14:paraId="78230951" w14:textId="2E6F8D8C" w:rsidR="00683AB8" w:rsidRDefault="00683AB8" w:rsidP="008E23CB">
            <w:pPr>
              <w:pStyle w:val="ListParagraph"/>
              <w:numPr>
                <w:ilvl w:val="0"/>
                <w:numId w:val="2"/>
              </w:numPr>
              <w:spacing w:line="240" w:lineRule="auto"/>
              <w:rPr>
                <w:rFonts w:ascii="Arial" w:hAnsi="Arial" w:cs="Arial"/>
                <w:sz w:val="22"/>
                <w:szCs w:val="22"/>
              </w:rPr>
            </w:pPr>
            <w:r>
              <w:rPr>
                <w:rFonts w:ascii="Arial" w:hAnsi="Arial" w:cs="Arial"/>
                <w:sz w:val="22"/>
                <w:szCs w:val="22"/>
              </w:rPr>
              <w:t xml:space="preserve">Describe investment classes, financial instruments, and investment services in terms of types and characteristics. </w:t>
            </w:r>
          </w:p>
        </w:tc>
      </w:tr>
      <w:tr w:rsidR="00683AB8" w14:paraId="19E46BF7" w14:textId="77777777" w:rsidTr="00176AE2">
        <w:trPr>
          <w:cantSplit/>
          <w:trHeight w:val="276"/>
          <w:tblHeader/>
        </w:trPr>
        <w:tc>
          <w:tcPr>
            <w:tcW w:w="4627" w:type="dxa"/>
            <w:vMerge/>
          </w:tcPr>
          <w:p w14:paraId="5FF27411" w14:textId="544CA39B" w:rsidR="00683AB8" w:rsidRDefault="00683AB8" w:rsidP="008E23CB">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35B8AB0" w14:textId="13F7EBC5" w:rsidR="00683AB8" w:rsidRPr="00AC6C57" w:rsidRDefault="00683AB8" w:rsidP="006D637C">
            <w:pPr>
              <w:spacing w:line="240" w:lineRule="auto"/>
              <w:ind w:left="364" w:hanging="364"/>
              <w:rPr>
                <w:rFonts w:ascii="Arial" w:hAnsi="Arial" w:cs="Arial"/>
                <w:sz w:val="22"/>
                <w:szCs w:val="22"/>
              </w:rPr>
            </w:pPr>
            <w:r>
              <w:rPr>
                <w:rFonts w:ascii="Arial" w:hAnsi="Arial" w:cs="Arial"/>
                <w:sz w:val="22"/>
                <w:szCs w:val="22"/>
              </w:rPr>
              <w:t xml:space="preserve">b.   Describe the effects of changes in the economic environment in relation to the asset classes. </w:t>
            </w:r>
          </w:p>
        </w:tc>
      </w:tr>
      <w:tr w:rsidR="00683AB8" w14:paraId="3D9920CC" w14:textId="77777777" w:rsidTr="00176AE2">
        <w:trPr>
          <w:cantSplit/>
          <w:trHeight w:val="276"/>
          <w:tblHeader/>
        </w:trPr>
        <w:tc>
          <w:tcPr>
            <w:tcW w:w="4627" w:type="dxa"/>
            <w:vMerge/>
          </w:tcPr>
          <w:p w14:paraId="69F7F8F9" w14:textId="38B3BC4F" w:rsidR="00683AB8" w:rsidRPr="00222548" w:rsidRDefault="00683AB8" w:rsidP="008E23CB">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69174AB0" w14:textId="6383B392" w:rsidR="00683AB8" w:rsidRPr="006D637C" w:rsidRDefault="00683AB8" w:rsidP="005B4205">
            <w:pPr>
              <w:spacing w:line="240" w:lineRule="auto"/>
              <w:ind w:left="364" w:hanging="364"/>
              <w:rPr>
                <w:rFonts w:ascii="Arial" w:hAnsi="Arial" w:cs="Arial"/>
                <w:sz w:val="22"/>
                <w:szCs w:val="22"/>
              </w:rPr>
            </w:pPr>
            <w:r>
              <w:rPr>
                <w:rFonts w:ascii="Arial" w:hAnsi="Arial" w:cs="Arial"/>
                <w:sz w:val="22"/>
                <w:szCs w:val="22"/>
              </w:rPr>
              <w:t xml:space="preserve">c.   Perform time value of money calculations to   analyse or quantify common investment goals and objectives. </w:t>
            </w:r>
          </w:p>
        </w:tc>
      </w:tr>
      <w:tr w:rsidR="00683AB8" w14:paraId="3173502A" w14:textId="77777777" w:rsidTr="00E40C72">
        <w:trPr>
          <w:cantSplit/>
          <w:trHeight w:val="276"/>
          <w:tblHeader/>
        </w:trPr>
        <w:tc>
          <w:tcPr>
            <w:tcW w:w="4627" w:type="dxa"/>
            <w:vMerge w:val="restart"/>
          </w:tcPr>
          <w:p w14:paraId="77976C03" w14:textId="7F00F039" w:rsidR="00683AB8" w:rsidRDefault="00683AB8" w:rsidP="00683AB8">
            <w:pPr>
              <w:pStyle w:val="ListParagraph"/>
              <w:spacing w:line="240" w:lineRule="auto"/>
              <w:ind w:left="306" w:hanging="306"/>
              <w:rPr>
                <w:rFonts w:ascii="Arial" w:hAnsi="Arial" w:cs="Arial"/>
                <w:sz w:val="22"/>
                <w:szCs w:val="22"/>
              </w:rPr>
            </w:pPr>
            <w:r>
              <w:rPr>
                <w:rFonts w:ascii="Arial" w:hAnsi="Arial" w:cs="Arial"/>
                <w:sz w:val="22"/>
                <w:szCs w:val="22"/>
              </w:rPr>
              <w:t xml:space="preserve">2.  Analyse </w:t>
            </w:r>
            <w:r w:rsidRPr="00724AE1">
              <w:rPr>
                <w:rFonts w:ascii="Arial" w:hAnsi="Arial" w:cs="Arial"/>
                <w:sz w:val="22"/>
                <w:szCs w:val="22"/>
              </w:rPr>
              <w:t>assets and services to identify those that meet the needs and circumstances of the client.</w:t>
            </w:r>
          </w:p>
        </w:tc>
        <w:tc>
          <w:tcPr>
            <w:tcW w:w="5341" w:type="dxa"/>
            <w:tcBorders>
              <w:top w:val="single" w:sz="4" w:space="0" w:color="auto"/>
              <w:bottom w:val="single" w:sz="4" w:space="0" w:color="auto"/>
            </w:tcBorders>
          </w:tcPr>
          <w:p w14:paraId="0717A721" w14:textId="1026AE78" w:rsidR="00683AB8" w:rsidRDefault="00683AB8" w:rsidP="005B46D0">
            <w:pPr>
              <w:spacing w:line="240" w:lineRule="auto"/>
              <w:ind w:left="357" w:hanging="357"/>
              <w:rPr>
                <w:rFonts w:ascii="Arial" w:hAnsi="Arial" w:cs="Arial"/>
                <w:sz w:val="22"/>
                <w:szCs w:val="22"/>
              </w:rPr>
            </w:pPr>
            <w:r>
              <w:rPr>
                <w:rFonts w:ascii="Arial" w:hAnsi="Arial" w:cs="Arial"/>
                <w:sz w:val="22"/>
                <w:szCs w:val="22"/>
              </w:rPr>
              <w:t xml:space="preserve">a.   </w:t>
            </w:r>
            <w:r w:rsidRPr="00724AE1">
              <w:rPr>
                <w:rFonts w:ascii="Arial" w:hAnsi="Arial" w:cs="Arial"/>
                <w:sz w:val="22"/>
                <w:szCs w:val="22"/>
              </w:rPr>
              <w:t>Analyse the features, benefits, risks, and limitations of assets and services to identify those that meet the needs and circumstances of the client.</w:t>
            </w:r>
          </w:p>
        </w:tc>
      </w:tr>
      <w:tr w:rsidR="00683AB8" w14:paraId="4F29B907" w14:textId="77777777" w:rsidTr="00E40C72">
        <w:trPr>
          <w:cantSplit/>
          <w:trHeight w:val="276"/>
          <w:tblHeader/>
        </w:trPr>
        <w:tc>
          <w:tcPr>
            <w:tcW w:w="4627" w:type="dxa"/>
            <w:vMerge/>
          </w:tcPr>
          <w:p w14:paraId="44F96AE3" w14:textId="0F6B63CD" w:rsidR="00683AB8" w:rsidRPr="00222548" w:rsidRDefault="00683AB8" w:rsidP="00683AB8">
            <w:pPr>
              <w:pStyle w:val="ListParagraph"/>
              <w:spacing w:line="240" w:lineRule="auto"/>
              <w:ind w:left="306" w:hanging="306"/>
              <w:rPr>
                <w:rFonts w:ascii="Arial" w:hAnsi="Arial" w:cs="Arial"/>
                <w:sz w:val="22"/>
                <w:szCs w:val="22"/>
              </w:rPr>
            </w:pPr>
          </w:p>
        </w:tc>
        <w:tc>
          <w:tcPr>
            <w:tcW w:w="5341" w:type="dxa"/>
            <w:tcBorders>
              <w:top w:val="single" w:sz="4" w:space="0" w:color="auto"/>
              <w:bottom w:val="single" w:sz="4" w:space="0" w:color="auto"/>
            </w:tcBorders>
          </w:tcPr>
          <w:p w14:paraId="2F8652F8" w14:textId="61CE2C4C" w:rsidR="00683AB8" w:rsidRPr="005B46D0" w:rsidRDefault="00683AB8" w:rsidP="005B46D0">
            <w:pPr>
              <w:spacing w:line="240" w:lineRule="auto"/>
              <w:ind w:left="357" w:hanging="357"/>
              <w:rPr>
                <w:rFonts w:ascii="Arial" w:hAnsi="Arial" w:cs="Arial"/>
                <w:sz w:val="22"/>
                <w:szCs w:val="22"/>
              </w:rPr>
            </w:pPr>
            <w:r>
              <w:rPr>
                <w:rFonts w:ascii="Arial" w:hAnsi="Arial" w:cs="Arial"/>
                <w:sz w:val="22"/>
                <w:szCs w:val="22"/>
              </w:rPr>
              <w:t xml:space="preserve">b. </w:t>
            </w:r>
            <w:r w:rsidR="00CD020A">
              <w:rPr>
                <w:rFonts w:ascii="Arial" w:hAnsi="Arial" w:cs="Arial"/>
                <w:sz w:val="22"/>
                <w:szCs w:val="22"/>
              </w:rPr>
              <w:t xml:space="preserve">  </w:t>
            </w:r>
            <w:r w:rsidR="00D67F93">
              <w:rPr>
                <w:rFonts w:ascii="Arial" w:hAnsi="Arial" w:cs="Arial"/>
                <w:sz w:val="22"/>
                <w:szCs w:val="22"/>
              </w:rPr>
              <w:t xml:space="preserve">Apply quantitative analysis techniques to </w:t>
            </w:r>
            <w:r w:rsidR="00CD020A">
              <w:rPr>
                <w:rFonts w:ascii="Arial" w:hAnsi="Arial" w:cs="Arial"/>
                <w:sz w:val="22"/>
                <w:szCs w:val="22"/>
              </w:rPr>
              <w:t>evaluate</w:t>
            </w:r>
            <w:r w:rsidR="00D67F93">
              <w:rPr>
                <w:rFonts w:ascii="Arial" w:hAnsi="Arial" w:cs="Arial"/>
                <w:sz w:val="22"/>
                <w:szCs w:val="22"/>
              </w:rPr>
              <w:t xml:space="preserve"> whether </w:t>
            </w:r>
            <w:r w:rsidR="00CD020A">
              <w:rPr>
                <w:rFonts w:ascii="Arial" w:hAnsi="Arial" w:cs="Arial"/>
                <w:sz w:val="22"/>
                <w:szCs w:val="22"/>
              </w:rPr>
              <w:t xml:space="preserve">assets meet client needs. </w:t>
            </w:r>
          </w:p>
        </w:tc>
      </w:tr>
    </w:tbl>
    <w:p w14:paraId="49FCEF7D" w14:textId="77777777" w:rsidR="00C46C59" w:rsidRDefault="00C46C59"/>
    <w:tbl>
      <w:tblPr>
        <w:tblStyle w:val="TableGrid"/>
        <w:tblW w:w="0" w:type="auto"/>
        <w:tblCellMar>
          <w:top w:w="85" w:type="dxa"/>
          <w:bottom w:w="85" w:type="dxa"/>
        </w:tblCellMar>
        <w:tblLook w:val="04A0" w:firstRow="1" w:lastRow="0" w:firstColumn="1" w:lastColumn="0" w:noHBand="0" w:noVBand="1"/>
      </w:tblPr>
      <w:tblGrid>
        <w:gridCol w:w="4627"/>
        <w:gridCol w:w="5341"/>
      </w:tblGrid>
      <w:tr w:rsidR="000967CE" w14:paraId="62B290B2" w14:textId="77777777" w:rsidTr="00E40C72">
        <w:trPr>
          <w:cantSplit/>
          <w:trHeight w:val="275"/>
          <w:tblHeader/>
        </w:trPr>
        <w:tc>
          <w:tcPr>
            <w:tcW w:w="4627" w:type="dxa"/>
            <w:vMerge w:val="restart"/>
          </w:tcPr>
          <w:p w14:paraId="0EAC1F95" w14:textId="2F3C91BE" w:rsidR="000967CE" w:rsidRPr="000967CE" w:rsidRDefault="000967CE" w:rsidP="001F7F21">
            <w:pPr>
              <w:spacing w:line="240" w:lineRule="auto"/>
              <w:ind w:left="306" w:hanging="306"/>
              <w:rPr>
                <w:rFonts w:ascii="Arial" w:hAnsi="Arial" w:cs="Arial"/>
                <w:sz w:val="22"/>
                <w:szCs w:val="22"/>
              </w:rPr>
            </w:pPr>
            <w:r>
              <w:rPr>
                <w:rFonts w:ascii="Arial" w:hAnsi="Arial" w:cs="Arial"/>
                <w:sz w:val="22"/>
                <w:szCs w:val="22"/>
              </w:rPr>
              <w:lastRenderedPageBreak/>
              <w:t xml:space="preserve">3. </w:t>
            </w:r>
            <w:r w:rsidR="001F7F21">
              <w:rPr>
                <w:rFonts w:ascii="Arial" w:hAnsi="Arial" w:cs="Arial"/>
                <w:sz w:val="22"/>
                <w:szCs w:val="22"/>
              </w:rPr>
              <w:t xml:space="preserve"> </w:t>
            </w:r>
            <w:r>
              <w:rPr>
                <w:rFonts w:ascii="Arial" w:hAnsi="Arial" w:cs="Arial"/>
                <w:sz w:val="22"/>
                <w:szCs w:val="22"/>
              </w:rPr>
              <w:t xml:space="preserve">Apply knowledge of client and adviser circumstances that are relevant to creating investment solutions that meet client needs. </w:t>
            </w:r>
          </w:p>
        </w:tc>
        <w:tc>
          <w:tcPr>
            <w:tcW w:w="5341" w:type="dxa"/>
            <w:tcBorders>
              <w:top w:val="single" w:sz="4" w:space="0" w:color="auto"/>
              <w:bottom w:val="single" w:sz="4" w:space="0" w:color="auto"/>
            </w:tcBorders>
          </w:tcPr>
          <w:p w14:paraId="7C444907" w14:textId="2682EC6F" w:rsidR="000967CE" w:rsidRPr="005B46D0" w:rsidRDefault="000967CE" w:rsidP="005B46D0">
            <w:pPr>
              <w:spacing w:line="240" w:lineRule="auto"/>
              <w:ind w:left="357" w:hanging="357"/>
              <w:rPr>
                <w:rFonts w:ascii="Arial" w:hAnsi="Arial" w:cs="Arial"/>
                <w:sz w:val="22"/>
                <w:szCs w:val="22"/>
              </w:rPr>
            </w:pPr>
            <w:r>
              <w:rPr>
                <w:rFonts w:ascii="Arial" w:hAnsi="Arial" w:cs="Arial"/>
                <w:sz w:val="22"/>
                <w:szCs w:val="22"/>
              </w:rPr>
              <w:t>a.</w:t>
            </w:r>
            <w:r w:rsidR="00A42B2E">
              <w:rPr>
                <w:rFonts w:ascii="Arial" w:hAnsi="Arial" w:cs="Arial"/>
                <w:sz w:val="22"/>
                <w:szCs w:val="22"/>
              </w:rPr>
              <w:t xml:space="preserve">  </w:t>
            </w:r>
            <w:r>
              <w:rPr>
                <w:rFonts w:ascii="Arial" w:hAnsi="Arial" w:cs="Arial"/>
                <w:sz w:val="22"/>
                <w:szCs w:val="22"/>
              </w:rPr>
              <w:t xml:space="preserve"> </w:t>
            </w:r>
            <w:r w:rsidR="00A42B2E" w:rsidRPr="00A42B2E">
              <w:rPr>
                <w:rFonts w:ascii="Arial" w:hAnsi="Arial" w:cs="Arial"/>
                <w:sz w:val="22"/>
                <w:szCs w:val="22"/>
              </w:rPr>
              <w:t>Explain any particular asset ownership considerations that may arise with respect to the identified solutions, including the need to refer to the client’s other professional advisers.</w:t>
            </w:r>
          </w:p>
        </w:tc>
      </w:tr>
      <w:tr w:rsidR="000967CE" w14:paraId="411F1B72" w14:textId="77777777" w:rsidTr="000967CE">
        <w:trPr>
          <w:cantSplit/>
          <w:trHeight w:val="275"/>
          <w:tblHeader/>
        </w:trPr>
        <w:tc>
          <w:tcPr>
            <w:tcW w:w="4627" w:type="dxa"/>
            <w:vMerge/>
          </w:tcPr>
          <w:p w14:paraId="1BC6E608" w14:textId="77777777" w:rsidR="000967CE" w:rsidRPr="00222548" w:rsidRDefault="000967CE" w:rsidP="008E23CB">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38737A14" w14:textId="5A40E750" w:rsidR="000967CE" w:rsidRPr="005B46D0" w:rsidRDefault="000967CE" w:rsidP="005B46D0">
            <w:pPr>
              <w:spacing w:line="240" w:lineRule="auto"/>
              <w:ind w:left="357" w:hanging="357"/>
              <w:rPr>
                <w:rFonts w:ascii="Arial" w:hAnsi="Arial" w:cs="Arial"/>
                <w:sz w:val="22"/>
                <w:szCs w:val="22"/>
              </w:rPr>
            </w:pPr>
            <w:r>
              <w:rPr>
                <w:rFonts w:ascii="Arial" w:hAnsi="Arial" w:cs="Arial"/>
                <w:sz w:val="22"/>
                <w:szCs w:val="22"/>
              </w:rPr>
              <w:t>b.</w:t>
            </w:r>
            <w:r w:rsidR="00A42B2E">
              <w:rPr>
                <w:rFonts w:ascii="Arial" w:hAnsi="Arial" w:cs="Arial"/>
                <w:sz w:val="22"/>
                <w:szCs w:val="22"/>
              </w:rPr>
              <w:t xml:space="preserve">   </w:t>
            </w:r>
            <w:r w:rsidR="00A42B2E" w:rsidRPr="00A42B2E">
              <w:rPr>
                <w:rFonts w:ascii="Arial" w:hAnsi="Arial" w:cs="Arial"/>
                <w:sz w:val="22"/>
                <w:szCs w:val="22"/>
              </w:rPr>
              <w:t>Analyse the implications for investment solutions of common ownership structures.</w:t>
            </w:r>
          </w:p>
        </w:tc>
      </w:tr>
      <w:tr w:rsidR="000967CE" w14:paraId="50E4F187" w14:textId="77777777" w:rsidTr="0039132F">
        <w:trPr>
          <w:cantSplit/>
          <w:trHeight w:val="275"/>
          <w:tblHeader/>
        </w:trPr>
        <w:tc>
          <w:tcPr>
            <w:tcW w:w="4627" w:type="dxa"/>
            <w:vMerge/>
            <w:tcBorders>
              <w:bottom w:val="single" w:sz="4" w:space="0" w:color="auto"/>
            </w:tcBorders>
          </w:tcPr>
          <w:p w14:paraId="4B714A3E" w14:textId="77777777" w:rsidR="000967CE" w:rsidRPr="00222548" w:rsidRDefault="000967CE" w:rsidP="008E23CB">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543A052A" w14:textId="5FA7FA3A" w:rsidR="000967CE" w:rsidRPr="005B46D0" w:rsidRDefault="000967CE" w:rsidP="005B46D0">
            <w:pPr>
              <w:spacing w:line="240" w:lineRule="auto"/>
              <w:ind w:left="357" w:hanging="357"/>
              <w:rPr>
                <w:rFonts w:ascii="Arial" w:hAnsi="Arial" w:cs="Arial"/>
                <w:sz w:val="22"/>
                <w:szCs w:val="22"/>
              </w:rPr>
            </w:pPr>
            <w:r>
              <w:rPr>
                <w:rFonts w:ascii="Arial" w:hAnsi="Arial" w:cs="Arial"/>
                <w:sz w:val="22"/>
                <w:szCs w:val="22"/>
              </w:rPr>
              <w:t>c.</w:t>
            </w:r>
            <w:r w:rsidR="00A42B2E">
              <w:rPr>
                <w:rFonts w:ascii="Arial" w:hAnsi="Arial" w:cs="Arial"/>
                <w:sz w:val="22"/>
                <w:szCs w:val="22"/>
              </w:rPr>
              <w:t xml:space="preserve"> </w:t>
            </w:r>
            <w:r w:rsidR="001F7F21">
              <w:rPr>
                <w:rFonts w:ascii="Arial" w:hAnsi="Arial" w:cs="Arial"/>
                <w:sz w:val="22"/>
                <w:szCs w:val="22"/>
              </w:rPr>
              <w:t xml:space="preserve">  </w:t>
            </w:r>
            <w:r w:rsidR="001F7F21" w:rsidRPr="001F7F21">
              <w:rPr>
                <w:rFonts w:ascii="Arial" w:hAnsi="Arial" w:cs="Arial"/>
                <w:sz w:val="22"/>
                <w:szCs w:val="22"/>
              </w:rPr>
              <w:t>Explain strategies to address limits of adviser authority or expertise when creating investment solutions.</w:t>
            </w:r>
            <w:r w:rsidR="001F7F21">
              <w:rPr>
                <w:rFonts w:ascii="Arial" w:hAnsi="Arial" w:cs="Arial"/>
                <w:sz w:val="22"/>
                <w:szCs w:val="22"/>
              </w:rPr>
              <w:t xml:space="preserve"> </w:t>
            </w:r>
          </w:p>
        </w:tc>
      </w:tr>
    </w:tbl>
    <w:p w14:paraId="4D7D7411" w14:textId="77777777" w:rsidR="001F7F21" w:rsidRDefault="001F7F21" w:rsidP="00DC70E1">
      <w:pPr>
        <w:spacing w:line="240" w:lineRule="auto"/>
        <w:rPr>
          <w:rFonts w:ascii="Arial" w:hAnsi="Arial" w:cs="Arial"/>
          <w:b/>
          <w:bCs/>
          <w:color w:val="000000" w:themeColor="text1"/>
          <w:sz w:val="22"/>
          <w:szCs w:val="22"/>
        </w:rPr>
      </w:pPr>
    </w:p>
    <w:p w14:paraId="46D40224" w14:textId="4A377B2E"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478F4B0D" w14:textId="77777777" w:rsidR="00880D95" w:rsidRDefault="00880D95" w:rsidP="00880D95">
      <w:pPr>
        <w:spacing w:line="240" w:lineRule="auto"/>
        <w:rPr>
          <w:rFonts w:ascii="Arial" w:hAnsi="Arial" w:cs="Arial"/>
          <w:sz w:val="22"/>
          <w:szCs w:val="22"/>
        </w:rPr>
      </w:pPr>
      <w:r w:rsidRPr="005B622A">
        <w:rPr>
          <w:rFonts w:ascii="Arial" w:hAnsi="Arial" w:cs="Arial"/>
          <w:sz w:val="22"/>
          <w:szCs w:val="22"/>
        </w:rPr>
        <w:t>Assessment should use real or realistic documentation where appropriate. Simulated examples are permitted.</w:t>
      </w:r>
      <w:r>
        <w:rPr>
          <w:rFonts w:ascii="Arial" w:hAnsi="Arial" w:cs="Arial"/>
          <w:sz w:val="22"/>
          <w:szCs w:val="22"/>
        </w:rPr>
        <w:t xml:space="preserve"> </w:t>
      </w:r>
    </w:p>
    <w:p w14:paraId="5F3EFFC2" w14:textId="77777777" w:rsidR="00880D95" w:rsidRDefault="00880D95" w:rsidP="00880D95">
      <w:pPr>
        <w:spacing w:line="240" w:lineRule="auto"/>
        <w:rPr>
          <w:rFonts w:ascii="Arial" w:hAnsi="Arial" w:cs="Arial"/>
          <w:sz w:val="22"/>
          <w:szCs w:val="22"/>
        </w:rPr>
      </w:pPr>
      <w:r>
        <w:rPr>
          <w:rFonts w:ascii="Arial" w:hAnsi="Arial" w:cs="Arial"/>
          <w:sz w:val="22"/>
          <w:szCs w:val="22"/>
        </w:rPr>
        <w:t>L</w:t>
      </w:r>
      <w:r w:rsidRPr="0024408F">
        <w:rPr>
          <w:rFonts w:ascii="Arial" w:hAnsi="Arial" w:cs="Arial"/>
          <w:sz w:val="22"/>
          <w:szCs w:val="22"/>
        </w:rPr>
        <w:t>earners are not expected to use tools and systems that are only available if they are available to a licenced financial advice provider or having a licence to use.</w:t>
      </w:r>
    </w:p>
    <w:p w14:paraId="0EE6A952" w14:textId="77777777" w:rsidR="00880D95" w:rsidRPr="004C55EC" w:rsidRDefault="00880D95" w:rsidP="00880D95">
      <w:pPr>
        <w:spacing w:line="240" w:lineRule="auto"/>
        <w:rPr>
          <w:rFonts w:ascii="Arial" w:hAnsi="Arial" w:cs="Arial"/>
          <w:sz w:val="22"/>
          <w:szCs w:val="22"/>
        </w:rPr>
      </w:pPr>
      <w:r>
        <w:rPr>
          <w:rFonts w:ascii="Arial" w:hAnsi="Arial" w:cs="Arial"/>
          <w:sz w:val="22"/>
          <w:szCs w:val="22"/>
        </w:rPr>
        <w:t>A</w:t>
      </w:r>
      <w:r w:rsidRPr="000B62F5">
        <w:rPr>
          <w:rFonts w:ascii="Arial" w:hAnsi="Arial" w:cs="Arial"/>
          <w:sz w:val="22"/>
          <w:szCs w:val="22"/>
        </w:rPr>
        <w:t>ny use of digital advice tools or artificial intelligence will need to be used in accordance with relevant organisational and industry codes of conduct and practice.</w:t>
      </w:r>
      <w:r>
        <w:rPr>
          <w:rFonts w:ascii="Arial" w:hAnsi="Arial" w:cs="Arial"/>
          <w:sz w:val="22"/>
          <w:szCs w:val="22"/>
        </w:rPr>
        <w:t xml:space="preserve"> </w:t>
      </w:r>
    </w:p>
    <w:p w14:paraId="3C8A6888" w14:textId="77777777" w:rsidR="00880D95" w:rsidRDefault="00880D95" w:rsidP="00880D95">
      <w:pPr>
        <w:spacing w:line="240" w:lineRule="auto"/>
        <w:rPr>
          <w:rFonts w:ascii="Arial" w:hAnsi="Arial" w:cs="Arial"/>
          <w:sz w:val="22"/>
          <w:szCs w:val="22"/>
        </w:rPr>
      </w:pPr>
      <w:r w:rsidRPr="00543BF9">
        <w:rPr>
          <w:rFonts w:ascii="Arial" w:hAnsi="Arial" w:cs="Arial"/>
          <w:sz w:val="22"/>
          <w:szCs w:val="22"/>
        </w:rPr>
        <w:t>All activities must comply with legislation, regulations, and best practice, including any guidance notes published by the agency responsible for the relevant enactment or code.</w:t>
      </w:r>
    </w:p>
    <w:p w14:paraId="24D9068B" w14:textId="4DE77F9D" w:rsidR="00880D95" w:rsidRDefault="00880D95" w:rsidP="00880D95">
      <w:pPr>
        <w:spacing w:line="240" w:lineRule="auto"/>
        <w:rPr>
          <w:rFonts w:ascii="Arial" w:hAnsi="Arial" w:cs="Arial"/>
          <w:sz w:val="22"/>
          <w:szCs w:val="22"/>
        </w:rPr>
      </w:pPr>
      <w:r>
        <w:rPr>
          <w:rFonts w:ascii="Arial" w:hAnsi="Arial" w:cs="Arial"/>
          <w:i/>
          <w:iCs/>
          <w:sz w:val="22"/>
          <w:szCs w:val="22"/>
        </w:rPr>
        <w:t>C</w:t>
      </w:r>
      <w:r w:rsidRPr="004D1896">
        <w:rPr>
          <w:rFonts w:ascii="Arial" w:hAnsi="Arial" w:cs="Arial"/>
          <w:i/>
          <w:iCs/>
          <w:sz w:val="22"/>
          <w:szCs w:val="22"/>
        </w:rPr>
        <w:t>lient</w:t>
      </w:r>
      <w:r>
        <w:rPr>
          <w:rFonts w:ascii="Arial" w:hAnsi="Arial" w:cs="Arial"/>
          <w:sz w:val="22"/>
          <w:szCs w:val="22"/>
        </w:rPr>
        <w:t xml:space="preserve"> also includes potential clients. Clients </w:t>
      </w:r>
      <w:r w:rsidR="00FF6FF0">
        <w:rPr>
          <w:rFonts w:ascii="Arial" w:hAnsi="Arial" w:cs="Arial"/>
          <w:sz w:val="22"/>
          <w:szCs w:val="22"/>
        </w:rPr>
        <w:t xml:space="preserve">may </w:t>
      </w:r>
      <w:r w:rsidR="00986FBD">
        <w:rPr>
          <w:rFonts w:ascii="Arial" w:hAnsi="Arial" w:cs="Arial"/>
          <w:sz w:val="22"/>
          <w:szCs w:val="22"/>
        </w:rPr>
        <w:t xml:space="preserve">include </w:t>
      </w:r>
      <w:r>
        <w:rPr>
          <w:rFonts w:ascii="Arial" w:hAnsi="Arial" w:cs="Arial"/>
          <w:sz w:val="22"/>
          <w:szCs w:val="22"/>
        </w:rPr>
        <w:t xml:space="preserve">Trust, business, individual, family. </w:t>
      </w:r>
    </w:p>
    <w:p w14:paraId="088DAF93" w14:textId="77777777" w:rsidR="009505EF" w:rsidRPr="00836D34" w:rsidRDefault="009505EF" w:rsidP="009505EF">
      <w:pPr>
        <w:spacing w:line="240" w:lineRule="auto"/>
        <w:rPr>
          <w:rFonts w:ascii="Arial" w:hAnsi="Arial" w:cs="Arial"/>
          <w:sz w:val="22"/>
          <w:szCs w:val="22"/>
        </w:rPr>
      </w:pPr>
      <w:r w:rsidRPr="00836D34">
        <w:rPr>
          <w:rFonts w:ascii="Arial" w:hAnsi="Arial" w:cs="Arial"/>
          <w:i/>
          <w:iCs/>
          <w:sz w:val="22"/>
          <w:szCs w:val="22"/>
        </w:rPr>
        <w:t xml:space="preserve">Client </w:t>
      </w:r>
      <w:r w:rsidRPr="00836D34">
        <w:rPr>
          <w:rFonts w:ascii="Arial" w:hAnsi="Arial" w:cs="Arial"/>
          <w:sz w:val="22"/>
          <w:szCs w:val="22"/>
        </w:rPr>
        <w:t>is intentionally broad to capture all types and include, individuals, partnerships, businesses, families, companies, trusts, charities, organisations, body corporates, and associations as current examples</w:t>
      </w:r>
      <w:r>
        <w:rPr>
          <w:rFonts w:ascii="Arial" w:hAnsi="Arial" w:cs="Arial"/>
          <w:sz w:val="22"/>
          <w:szCs w:val="22"/>
        </w:rPr>
        <w:t xml:space="preserve">. </w:t>
      </w:r>
    </w:p>
    <w:p w14:paraId="3C8CFC27" w14:textId="4E05B0DB" w:rsidR="00D059FF" w:rsidRPr="00B85142" w:rsidRDefault="003B3FEE" w:rsidP="00D059FF">
      <w:pPr>
        <w:spacing w:line="240" w:lineRule="auto"/>
        <w:rPr>
          <w:rFonts w:ascii="Arial" w:hAnsi="Arial" w:cs="Arial"/>
          <w:color w:val="000000" w:themeColor="text1"/>
          <w:sz w:val="22"/>
          <w:szCs w:val="22"/>
        </w:rPr>
      </w:pPr>
      <w:r>
        <w:rPr>
          <w:rFonts w:ascii="Arial" w:hAnsi="Arial" w:cs="Arial"/>
          <w:sz w:val="22"/>
          <w:szCs w:val="22"/>
        </w:rPr>
        <w:t xml:space="preserve">Description of investment classes </w:t>
      </w:r>
      <w:r w:rsidR="00D059FF">
        <w:rPr>
          <w:rFonts w:ascii="Arial" w:hAnsi="Arial" w:cs="Arial"/>
          <w:sz w:val="22"/>
          <w:szCs w:val="22"/>
        </w:rPr>
        <w:t xml:space="preserve">- </w:t>
      </w:r>
      <w:r w:rsidR="00D059FF" w:rsidRPr="00B85142">
        <w:rPr>
          <w:rFonts w:ascii="Arial" w:hAnsi="Arial" w:cs="Arial"/>
          <w:color w:val="000000" w:themeColor="text1"/>
          <w:sz w:val="22"/>
          <w:szCs w:val="22"/>
        </w:rPr>
        <w:t>both domestic and international variations of an asset class are included where both are ordinarily available</w:t>
      </w:r>
      <w:r w:rsidR="00D059FF">
        <w:rPr>
          <w:rFonts w:ascii="Arial" w:hAnsi="Arial" w:cs="Arial"/>
          <w:color w:val="000000" w:themeColor="text1"/>
          <w:sz w:val="22"/>
          <w:szCs w:val="22"/>
        </w:rPr>
        <w:t xml:space="preserve">. </w:t>
      </w:r>
    </w:p>
    <w:p w14:paraId="64E750B0" w14:textId="77777777" w:rsidR="00357553" w:rsidRDefault="00357553" w:rsidP="00357553">
      <w:pPr>
        <w:spacing w:line="240" w:lineRule="auto"/>
        <w:rPr>
          <w:rFonts w:ascii="Arial" w:hAnsi="Arial" w:cs="Arial"/>
          <w:color w:val="000000" w:themeColor="text1"/>
          <w:sz w:val="22"/>
          <w:szCs w:val="22"/>
        </w:rPr>
      </w:pPr>
      <w:r w:rsidRPr="00357553">
        <w:rPr>
          <w:rFonts w:ascii="Arial" w:hAnsi="Arial" w:cs="Arial"/>
          <w:sz w:val="22"/>
          <w:szCs w:val="22"/>
        </w:rPr>
        <w:t>For the assessment of performing t</w:t>
      </w:r>
      <w:r w:rsidRPr="00357553">
        <w:rPr>
          <w:rFonts w:ascii="Arial" w:hAnsi="Arial" w:cs="Arial"/>
          <w:color w:val="000000" w:themeColor="text1"/>
          <w:sz w:val="22"/>
          <w:szCs w:val="22"/>
        </w:rPr>
        <w:t>ime value of money calculations to analyse or quantify common investment goals and objectives, results are not required to be generated from first principles or formula, use of financial calculator, spread sheets or software tools is acceptable, including on-line resources.</w:t>
      </w:r>
    </w:p>
    <w:p w14:paraId="0677CB73" w14:textId="77777777" w:rsidR="00657885" w:rsidRPr="00657885" w:rsidRDefault="00657885" w:rsidP="00657885">
      <w:pPr>
        <w:spacing w:line="240" w:lineRule="auto"/>
        <w:rPr>
          <w:rFonts w:ascii="Arial" w:hAnsi="Arial" w:cs="Arial"/>
          <w:b/>
          <w:bCs/>
          <w:sz w:val="22"/>
          <w:szCs w:val="22"/>
        </w:rPr>
      </w:pPr>
      <w:r w:rsidRPr="00657885">
        <w:rPr>
          <w:rFonts w:ascii="Arial" w:hAnsi="Arial" w:cs="Arial"/>
          <w:b/>
          <w:bCs/>
          <w:sz w:val="22"/>
          <w:szCs w:val="22"/>
        </w:rPr>
        <w:t>Sample investment analysis techniques</w:t>
      </w:r>
    </w:p>
    <w:p w14:paraId="3CC4B5BF" w14:textId="77777777" w:rsidR="00657885" w:rsidRPr="00657885" w:rsidRDefault="00657885" w:rsidP="00657885">
      <w:pPr>
        <w:spacing w:line="240" w:lineRule="auto"/>
        <w:rPr>
          <w:rFonts w:ascii="Arial" w:hAnsi="Arial" w:cs="Arial"/>
          <w:sz w:val="22"/>
          <w:szCs w:val="22"/>
        </w:rPr>
      </w:pPr>
      <w:r w:rsidRPr="00657885">
        <w:rPr>
          <w:rFonts w:ascii="Arial" w:hAnsi="Arial" w:cs="Arial"/>
          <w:sz w:val="22"/>
          <w:szCs w:val="22"/>
        </w:rPr>
        <w:t>The following lists investment types and possible quantitative measures that are used in the measurement of performance.</w:t>
      </w:r>
    </w:p>
    <w:p w14:paraId="617D385A" w14:textId="77777777" w:rsidR="00657885" w:rsidRPr="00657885" w:rsidRDefault="00657885" w:rsidP="00657885">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4984"/>
        <w:gridCol w:w="4984"/>
      </w:tblGrid>
      <w:tr w:rsidR="000038F5" w14:paraId="6229F126" w14:textId="77777777" w:rsidTr="000038F5">
        <w:tc>
          <w:tcPr>
            <w:tcW w:w="4984" w:type="dxa"/>
          </w:tcPr>
          <w:p w14:paraId="1D4B2463" w14:textId="3694B6EA" w:rsidR="000038F5" w:rsidRDefault="00E17B4D" w:rsidP="00AA279B">
            <w:pPr>
              <w:spacing w:line="240" w:lineRule="auto"/>
              <w:rPr>
                <w:rFonts w:ascii="Arial" w:hAnsi="Arial" w:cs="Arial"/>
                <w:sz w:val="22"/>
                <w:szCs w:val="22"/>
              </w:rPr>
            </w:pPr>
            <w:r w:rsidRPr="00E17B4D">
              <w:rPr>
                <w:rFonts w:ascii="Arial" w:hAnsi="Arial" w:cs="Arial"/>
                <w:b/>
                <w:sz w:val="22"/>
                <w:szCs w:val="22"/>
              </w:rPr>
              <w:t>Investment Types</w:t>
            </w:r>
          </w:p>
        </w:tc>
        <w:tc>
          <w:tcPr>
            <w:tcW w:w="4984" w:type="dxa"/>
          </w:tcPr>
          <w:p w14:paraId="66BFABAD" w14:textId="7537E713" w:rsidR="000038F5" w:rsidRDefault="005E73F3" w:rsidP="00AA279B">
            <w:pPr>
              <w:spacing w:line="240" w:lineRule="auto"/>
              <w:rPr>
                <w:rFonts w:ascii="Arial" w:hAnsi="Arial" w:cs="Arial"/>
                <w:sz w:val="22"/>
                <w:szCs w:val="22"/>
              </w:rPr>
            </w:pPr>
            <w:r w:rsidRPr="005E73F3">
              <w:rPr>
                <w:rFonts w:ascii="Arial" w:hAnsi="Arial" w:cs="Arial"/>
                <w:b/>
                <w:sz w:val="22"/>
                <w:szCs w:val="22"/>
              </w:rPr>
              <w:t>Relevant financial ratios and calculations</w:t>
            </w:r>
          </w:p>
        </w:tc>
      </w:tr>
      <w:tr w:rsidR="000038F5" w14:paraId="051C2737" w14:textId="77777777" w:rsidTr="000038F5">
        <w:tc>
          <w:tcPr>
            <w:tcW w:w="4984" w:type="dxa"/>
          </w:tcPr>
          <w:p w14:paraId="7E152ED2" w14:textId="02D98AEC" w:rsidR="000038F5" w:rsidRDefault="004B21AB" w:rsidP="00AA279B">
            <w:pPr>
              <w:spacing w:line="240" w:lineRule="auto"/>
              <w:rPr>
                <w:rFonts w:ascii="Arial" w:hAnsi="Arial" w:cs="Arial"/>
                <w:sz w:val="22"/>
                <w:szCs w:val="22"/>
              </w:rPr>
            </w:pPr>
            <w:r w:rsidRPr="004B21AB">
              <w:rPr>
                <w:rFonts w:ascii="Arial" w:hAnsi="Arial" w:cs="Arial"/>
                <w:sz w:val="22"/>
                <w:szCs w:val="22"/>
              </w:rPr>
              <w:t>Bonds/Fixed Interest</w:t>
            </w:r>
          </w:p>
        </w:tc>
        <w:tc>
          <w:tcPr>
            <w:tcW w:w="4984" w:type="dxa"/>
          </w:tcPr>
          <w:p w14:paraId="0DB21D56" w14:textId="288930DE" w:rsidR="000038F5" w:rsidRDefault="00B27AEB" w:rsidP="00C0472B">
            <w:pPr>
              <w:spacing w:line="240" w:lineRule="auto"/>
              <w:rPr>
                <w:rFonts w:ascii="Arial" w:hAnsi="Arial" w:cs="Arial"/>
                <w:sz w:val="22"/>
                <w:szCs w:val="22"/>
              </w:rPr>
            </w:pPr>
            <w:r w:rsidRPr="00B27AEB">
              <w:rPr>
                <w:rFonts w:ascii="Arial" w:hAnsi="Arial" w:cs="Arial"/>
                <w:sz w:val="22"/>
                <w:szCs w:val="22"/>
              </w:rPr>
              <w:t>Yield, price, annualised return; coupon, term to maturity, credit rating, cum-interest, ex-interest, capital and accrued components.</w:t>
            </w:r>
          </w:p>
        </w:tc>
      </w:tr>
      <w:tr w:rsidR="000038F5" w14:paraId="76F8EE78" w14:textId="77777777" w:rsidTr="000038F5">
        <w:tc>
          <w:tcPr>
            <w:tcW w:w="4984" w:type="dxa"/>
          </w:tcPr>
          <w:p w14:paraId="24191A96" w14:textId="4DAE35D2" w:rsidR="000038F5" w:rsidRDefault="009D74A6" w:rsidP="00AA279B">
            <w:pPr>
              <w:spacing w:line="240" w:lineRule="auto"/>
              <w:rPr>
                <w:rFonts w:ascii="Arial" w:hAnsi="Arial" w:cs="Arial"/>
                <w:sz w:val="22"/>
                <w:szCs w:val="22"/>
              </w:rPr>
            </w:pPr>
            <w:r w:rsidRPr="009D74A6">
              <w:rPr>
                <w:rFonts w:ascii="Arial" w:hAnsi="Arial" w:cs="Arial"/>
                <w:sz w:val="22"/>
                <w:szCs w:val="22"/>
              </w:rPr>
              <w:t>Cash/cash equivalent</w:t>
            </w:r>
          </w:p>
        </w:tc>
        <w:tc>
          <w:tcPr>
            <w:tcW w:w="4984" w:type="dxa"/>
          </w:tcPr>
          <w:p w14:paraId="721DA968" w14:textId="176754DB" w:rsidR="000038F5" w:rsidRDefault="00DB218B" w:rsidP="00C0472B">
            <w:pPr>
              <w:spacing w:line="240" w:lineRule="auto"/>
              <w:rPr>
                <w:rFonts w:ascii="Arial" w:hAnsi="Arial" w:cs="Arial"/>
                <w:sz w:val="22"/>
                <w:szCs w:val="22"/>
              </w:rPr>
            </w:pPr>
            <w:r w:rsidRPr="00DB218B">
              <w:rPr>
                <w:rFonts w:ascii="Arial" w:hAnsi="Arial" w:cs="Arial"/>
                <w:sz w:val="22"/>
                <w:szCs w:val="22"/>
              </w:rPr>
              <w:t>interest rate measurement (simple, compound, and effective).</w:t>
            </w:r>
          </w:p>
        </w:tc>
      </w:tr>
      <w:tr w:rsidR="000038F5" w14:paraId="340D9088" w14:textId="77777777" w:rsidTr="000038F5">
        <w:tc>
          <w:tcPr>
            <w:tcW w:w="4984" w:type="dxa"/>
          </w:tcPr>
          <w:p w14:paraId="46E15CD1" w14:textId="7D8D5D31" w:rsidR="000038F5" w:rsidRDefault="00C66EA4" w:rsidP="00AA279B">
            <w:pPr>
              <w:spacing w:line="240" w:lineRule="auto"/>
              <w:rPr>
                <w:rFonts w:ascii="Arial" w:hAnsi="Arial" w:cs="Arial"/>
                <w:sz w:val="22"/>
                <w:szCs w:val="22"/>
              </w:rPr>
            </w:pPr>
            <w:r w:rsidRPr="00C66EA4">
              <w:rPr>
                <w:rFonts w:ascii="Arial" w:hAnsi="Arial" w:cs="Arial"/>
                <w:sz w:val="22"/>
                <w:szCs w:val="22"/>
              </w:rPr>
              <w:t>Direct equities</w:t>
            </w:r>
          </w:p>
        </w:tc>
        <w:tc>
          <w:tcPr>
            <w:tcW w:w="4984" w:type="dxa"/>
          </w:tcPr>
          <w:p w14:paraId="4EB29511" w14:textId="5B8A441B" w:rsidR="000038F5" w:rsidRDefault="009748F4" w:rsidP="00C0472B">
            <w:pPr>
              <w:spacing w:line="240" w:lineRule="auto"/>
              <w:rPr>
                <w:rFonts w:ascii="Arial" w:hAnsi="Arial" w:cs="Arial"/>
                <w:sz w:val="22"/>
                <w:szCs w:val="22"/>
              </w:rPr>
            </w:pPr>
            <w:r w:rsidRPr="009748F4">
              <w:rPr>
                <w:rFonts w:ascii="Arial" w:hAnsi="Arial" w:cs="Arial"/>
                <w:sz w:val="22"/>
                <w:szCs w:val="22"/>
              </w:rPr>
              <w:t>price/earnings ratio, dividend yield, debt/equity.</w:t>
            </w:r>
          </w:p>
        </w:tc>
      </w:tr>
      <w:tr w:rsidR="000038F5" w14:paraId="0713C86F" w14:textId="77777777" w:rsidTr="000038F5">
        <w:tc>
          <w:tcPr>
            <w:tcW w:w="4984" w:type="dxa"/>
          </w:tcPr>
          <w:p w14:paraId="076E85B4" w14:textId="4B25A3AD" w:rsidR="000038F5" w:rsidRDefault="00A01015" w:rsidP="00AA279B">
            <w:pPr>
              <w:spacing w:line="240" w:lineRule="auto"/>
              <w:rPr>
                <w:rFonts w:ascii="Arial" w:hAnsi="Arial" w:cs="Arial"/>
                <w:sz w:val="22"/>
                <w:szCs w:val="22"/>
              </w:rPr>
            </w:pPr>
            <w:r w:rsidRPr="00A01015">
              <w:rPr>
                <w:rFonts w:ascii="Arial" w:hAnsi="Arial" w:cs="Arial"/>
                <w:sz w:val="22"/>
                <w:szCs w:val="22"/>
              </w:rPr>
              <w:lastRenderedPageBreak/>
              <w:t>Real property</w:t>
            </w:r>
          </w:p>
        </w:tc>
        <w:tc>
          <w:tcPr>
            <w:tcW w:w="4984" w:type="dxa"/>
          </w:tcPr>
          <w:p w14:paraId="360C0B21" w14:textId="47C1A364" w:rsidR="000038F5" w:rsidRDefault="0023566E" w:rsidP="00C0472B">
            <w:pPr>
              <w:spacing w:line="240" w:lineRule="auto"/>
              <w:rPr>
                <w:rFonts w:ascii="Arial" w:hAnsi="Arial" w:cs="Arial"/>
                <w:sz w:val="22"/>
                <w:szCs w:val="22"/>
              </w:rPr>
            </w:pPr>
            <w:r w:rsidRPr="0023566E">
              <w:rPr>
                <w:rFonts w:ascii="Arial" w:hAnsi="Arial" w:cs="Arial"/>
                <w:sz w:val="22"/>
                <w:szCs w:val="22"/>
              </w:rPr>
              <w:t>initial yield, debt coverage ratio, income yield, debt/equity ratio, common valuation methodologies, capitalisation ratio.</w:t>
            </w:r>
          </w:p>
        </w:tc>
      </w:tr>
      <w:tr w:rsidR="000038F5" w14:paraId="2337CB41" w14:textId="77777777" w:rsidTr="000038F5">
        <w:tc>
          <w:tcPr>
            <w:tcW w:w="4984" w:type="dxa"/>
          </w:tcPr>
          <w:p w14:paraId="1CFCFCD4" w14:textId="11A97E17" w:rsidR="000038F5" w:rsidRDefault="00EF5C77" w:rsidP="00AA279B">
            <w:pPr>
              <w:spacing w:line="240" w:lineRule="auto"/>
              <w:rPr>
                <w:rFonts w:ascii="Arial" w:hAnsi="Arial" w:cs="Arial"/>
                <w:sz w:val="22"/>
                <w:szCs w:val="22"/>
              </w:rPr>
            </w:pPr>
            <w:r w:rsidRPr="00EF5C77">
              <w:rPr>
                <w:rFonts w:ascii="Arial" w:hAnsi="Arial" w:cs="Arial"/>
                <w:sz w:val="22"/>
                <w:szCs w:val="22"/>
              </w:rPr>
              <w:t>Managed investments</w:t>
            </w:r>
          </w:p>
        </w:tc>
        <w:tc>
          <w:tcPr>
            <w:tcW w:w="4984" w:type="dxa"/>
          </w:tcPr>
          <w:p w14:paraId="307C14D4" w14:textId="452FE8CE" w:rsidR="000038F5" w:rsidRDefault="009B7B95" w:rsidP="00AA279B">
            <w:pPr>
              <w:spacing w:line="240" w:lineRule="auto"/>
              <w:rPr>
                <w:rFonts w:ascii="Arial" w:hAnsi="Arial" w:cs="Arial"/>
                <w:sz w:val="22"/>
                <w:szCs w:val="22"/>
              </w:rPr>
            </w:pPr>
            <w:r w:rsidRPr="009B7B95">
              <w:rPr>
                <w:rFonts w:ascii="Arial" w:hAnsi="Arial" w:cs="Arial"/>
                <w:sz w:val="22"/>
                <w:szCs w:val="22"/>
              </w:rPr>
              <w:t>Alpha, Beta, Sharpe Ratio</w:t>
            </w:r>
          </w:p>
        </w:tc>
      </w:tr>
      <w:tr w:rsidR="009B7B95" w14:paraId="55F68921" w14:textId="77777777" w:rsidTr="000038F5">
        <w:tc>
          <w:tcPr>
            <w:tcW w:w="4984" w:type="dxa"/>
          </w:tcPr>
          <w:p w14:paraId="76A8A02A" w14:textId="4A6D26FA" w:rsidR="009B7B95" w:rsidRPr="00EF5C77" w:rsidRDefault="00E87AE5" w:rsidP="00AA279B">
            <w:pPr>
              <w:spacing w:line="240" w:lineRule="auto"/>
              <w:rPr>
                <w:rFonts w:ascii="Arial" w:hAnsi="Arial" w:cs="Arial"/>
                <w:sz w:val="22"/>
                <w:szCs w:val="22"/>
              </w:rPr>
            </w:pPr>
            <w:r w:rsidRPr="00E87AE5">
              <w:rPr>
                <w:rFonts w:ascii="Arial" w:hAnsi="Arial" w:cs="Arial"/>
                <w:sz w:val="22"/>
                <w:szCs w:val="22"/>
              </w:rPr>
              <w:t>Alternatives</w:t>
            </w:r>
          </w:p>
        </w:tc>
        <w:tc>
          <w:tcPr>
            <w:tcW w:w="4984" w:type="dxa"/>
          </w:tcPr>
          <w:p w14:paraId="3E1565FE" w14:textId="5FE86F72" w:rsidR="009B7B95" w:rsidRPr="009B7B95" w:rsidRDefault="000E155A" w:rsidP="00C0472B">
            <w:pPr>
              <w:spacing w:line="240" w:lineRule="auto"/>
              <w:rPr>
                <w:rFonts w:ascii="Arial" w:hAnsi="Arial" w:cs="Arial"/>
                <w:sz w:val="22"/>
                <w:szCs w:val="22"/>
              </w:rPr>
            </w:pPr>
            <w:r w:rsidRPr="000E155A">
              <w:rPr>
                <w:rFonts w:ascii="Arial" w:hAnsi="Arial" w:cs="Arial"/>
                <w:sz w:val="22"/>
                <w:szCs w:val="22"/>
              </w:rPr>
              <w:t>Identify relevant ratios for others depending on type of alternative.</w:t>
            </w:r>
          </w:p>
        </w:tc>
      </w:tr>
      <w:tr w:rsidR="000038F5" w14:paraId="5F1A1201" w14:textId="77777777" w:rsidTr="000038F5">
        <w:tc>
          <w:tcPr>
            <w:tcW w:w="4984" w:type="dxa"/>
          </w:tcPr>
          <w:p w14:paraId="2E7D45F8" w14:textId="0AE31202" w:rsidR="000038F5" w:rsidRDefault="00002920" w:rsidP="00AA279B">
            <w:pPr>
              <w:spacing w:line="240" w:lineRule="auto"/>
              <w:rPr>
                <w:rFonts w:ascii="Arial" w:hAnsi="Arial" w:cs="Arial"/>
                <w:sz w:val="22"/>
                <w:szCs w:val="22"/>
              </w:rPr>
            </w:pPr>
            <w:r w:rsidRPr="00002920">
              <w:rPr>
                <w:rFonts w:ascii="Arial" w:hAnsi="Arial" w:cs="Arial"/>
                <w:sz w:val="22"/>
                <w:szCs w:val="22"/>
              </w:rPr>
              <w:t>Portfolio</w:t>
            </w:r>
          </w:p>
        </w:tc>
        <w:tc>
          <w:tcPr>
            <w:tcW w:w="4984" w:type="dxa"/>
          </w:tcPr>
          <w:p w14:paraId="16F20E44" w14:textId="3BBDE1BA" w:rsidR="000038F5" w:rsidRDefault="004413AC" w:rsidP="004413AC">
            <w:pPr>
              <w:spacing w:line="240" w:lineRule="auto"/>
              <w:rPr>
                <w:rFonts w:ascii="Arial" w:hAnsi="Arial" w:cs="Arial"/>
                <w:sz w:val="22"/>
                <w:szCs w:val="22"/>
              </w:rPr>
            </w:pPr>
            <w:r w:rsidRPr="004413AC">
              <w:rPr>
                <w:rFonts w:ascii="Arial" w:hAnsi="Arial" w:cs="Arial"/>
                <w:sz w:val="22"/>
                <w:szCs w:val="22"/>
              </w:rPr>
              <w:t>weighted average return, correlation coefficient of asset pairs, covariance.</w:t>
            </w:r>
          </w:p>
        </w:tc>
      </w:tr>
    </w:tbl>
    <w:p w14:paraId="7FA6A561" w14:textId="28CF5990" w:rsidR="00357553" w:rsidRDefault="00357553" w:rsidP="00AA279B">
      <w:pPr>
        <w:spacing w:line="240" w:lineRule="auto"/>
        <w:rPr>
          <w:rFonts w:ascii="Arial" w:hAnsi="Arial" w:cs="Arial"/>
          <w:sz w:val="22"/>
          <w:szCs w:val="22"/>
        </w:rPr>
      </w:pPr>
    </w:p>
    <w:p w14:paraId="49525274" w14:textId="763212A4"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69BA0B85"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4D2679C8" w14:textId="7C005E7E" w:rsidR="004413AC" w:rsidRDefault="008433E7"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Investment asset classes</w:t>
      </w:r>
    </w:p>
    <w:p w14:paraId="79EB124D" w14:textId="691E804B" w:rsidR="003C4076" w:rsidRPr="00995671" w:rsidRDefault="00B85142" w:rsidP="00CE5C29">
      <w:pPr>
        <w:pStyle w:val="ListParagraph"/>
        <w:numPr>
          <w:ilvl w:val="0"/>
          <w:numId w:val="8"/>
        </w:numPr>
        <w:spacing w:line="240" w:lineRule="auto"/>
        <w:ind w:left="284" w:hanging="284"/>
        <w:rPr>
          <w:rFonts w:ascii="Arial" w:hAnsi="Arial" w:cs="Arial"/>
          <w:color w:val="000000" w:themeColor="text1"/>
          <w:sz w:val="22"/>
          <w:szCs w:val="22"/>
        </w:rPr>
      </w:pPr>
      <w:r w:rsidRPr="00995671">
        <w:rPr>
          <w:rFonts w:ascii="Arial" w:hAnsi="Arial" w:cs="Arial"/>
          <w:color w:val="000000" w:themeColor="text1"/>
          <w:sz w:val="22"/>
          <w:szCs w:val="22"/>
        </w:rPr>
        <w:t>equities (shares)</w:t>
      </w:r>
    </w:p>
    <w:p w14:paraId="489493DB" w14:textId="14B28CE6" w:rsidR="003C4076" w:rsidRPr="00995671" w:rsidRDefault="00B85142" w:rsidP="00CE5C29">
      <w:pPr>
        <w:pStyle w:val="ListParagraph"/>
        <w:numPr>
          <w:ilvl w:val="0"/>
          <w:numId w:val="8"/>
        </w:numPr>
        <w:spacing w:line="240" w:lineRule="auto"/>
        <w:ind w:left="284" w:hanging="284"/>
        <w:rPr>
          <w:rFonts w:ascii="Arial" w:hAnsi="Arial" w:cs="Arial"/>
          <w:color w:val="000000" w:themeColor="text1"/>
          <w:sz w:val="22"/>
          <w:szCs w:val="22"/>
        </w:rPr>
      </w:pPr>
      <w:r w:rsidRPr="00995671">
        <w:rPr>
          <w:rFonts w:ascii="Arial" w:hAnsi="Arial" w:cs="Arial"/>
          <w:color w:val="000000" w:themeColor="text1"/>
          <w:sz w:val="22"/>
          <w:szCs w:val="22"/>
        </w:rPr>
        <w:t>fixed interest investments including government and non-government debt</w:t>
      </w:r>
    </w:p>
    <w:p w14:paraId="31652003" w14:textId="1FE2A132" w:rsidR="00B85142" w:rsidRPr="00995671" w:rsidRDefault="00B85142" w:rsidP="00CE5C29">
      <w:pPr>
        <w:pStyle w:val="ListParagraph"/>
        <w:numPr>
          <w:ilvl w:val="0"/>
          <w:numId w:val="8"/>
        </w:numPr>
        <w:spacing w:line="240" w:lineRule="auto"/>
        <w:ind w:left="284" w:hanging="284"/>
        <w:rPr>
          <w:rFonts w:ascii="Arial" w:hAnsi="Arial" w:cs="Arial"/>
          <w:color w:val="000000" w:themeColor="text1"/>
          <w:sz w:val="22"/>
          <w:szCs w:val="22"/>
        </w:rPr>
      </w:pPr>
      <w:r w:rsidRPr="00995671">
        <w:rPr>
          <w:rFonts w:ascii="Arial" w:hAnsi="Arial" w:cs="Arial"/>
          <w:color w:val="000000" w:themeColor="text1"/>
          <w:sz w:val="22"/>
          <w:szCs w:val="22"/>
        </w:rPr>
        <w:t>property investments; alternative investments such as derivatives, private equity, and hedge funds; cash</w:t>
      </w:r>
    </w:p>
    <w:p w14:paraId="35092989" w14:textId="4AAD468C" w:rsidR="00B85142" w:rsidRPr="00B85142" w:rsidRDefault="00BA7EF1" w:rsidP="00CE5C29">
      <w:p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w:t>
      </w:r>
      <w:r w:rsidR="00B85142" w:rsidRPr="00B85142">
        <w:rPr>
          <w:rFonts w:ascii="Arial" w:hAnsi="Arial" w:cs="Arial"/>
          <w:color w:val="000000" w:themeColor="text1"/>
          <w:sz w:val="22"/>
          <w:szCs w:val="22"/>
        </w:rPr>
        <w:t>haracteristics may include but are not limited to – benchmark and long term expected return, risk, liquidity, mix of investment gain between income and capital growth.</w:t>
      </w:r>
    </w:p>
    <w:p w14:paraId="723C31D4" w14:textId="17DDEC50" w:rsidR="008433E7" w:rsidRDefault="00995671"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Financial instruments </w:t>
      </w:r>
    </w:p>
    <w:p w14:paraId="1B918CEC" w14:textId="558F3972" w:rsidR="00771E54" w:rsidRPr="00771E54" w:rsidRDefault="00771E54" w:rsidP="00CE5C29">
      <w:pPr>
        <w:pStyle w:val="ListParagraph"/>
        <w:numPr>
          <w:ilvl w:val="0"/>
          <w:numId w:val="9"/>
        </w:numPr>
        <w:spacing w:line="240" w:lineRule="auto"/>
        <w:ind w:left="284" w:hanging="284"/>
        <w:rPr>
          <w:rFonts w:ascii="Arial" w:hAnsi="Arial" w:cs="Arial"/>
          <w:color w:val="000000" w:themeColor="text1"/>
          <w:sz w:val="22"/>
          <w:szCs w:val="22"/>
        </w:rPr>
      </w:pPr>
      <w:r w:rsidRPr="00771E54">
        <w:rPr>
          <w:rFonts w:ascii="Arial" w:hAnsi="Arial" w:cs="Arial"/>
          <w:color w:val="000000" w:themeColor="text1"/>
          <w:sz w:val="22"/>
          <w:szCs w:val="22"/>
        </w:rPr>
        <w:t>direct equities</w:t>
      </w:r>
    </w:p>
    <w:p w14:paraId="2C54FB0C" w14:textId="57526AC9" w:rsidR="00771E54" w:rsidRPr="00771E54" w:rsidRDefault="00771E54" w:rsidP="00CE5C29">
      <w:pPr>
        <w:pStyle w:val="ListParagraph"/>
        <w:numPr>
          <w:ilvl w:val="0"/>
          <w:numId w:val="9"/>
        </w:numPr>
        <w:spacing w:line="240" w:lineRule="auto"/>
        <w:ind w:left="284" w:hanging="284"/>
        <w:rPr>
          <w:rFonts w:ascii="Arial" w:hAnsi="Arial" w:cs="Arial"/>
          <w:color w:val="000000" w:themeColor="text1"/>
          <w:sz w:val="22"/>
          <w:szCs w:val="22"/>
        </w:rPr>
      </w:pPr>
      <w:r w:rsidRPr="00771E54">
        <w:rPr>
          <w:rFonts w:ascii="Arial" w:hAnsi="Arial" w:cs="Arial"/>
          <w:color w:val="000000" w:themeColor="text1"/>
          <w:sz w:val="22"/>
          <w:szCs w:val="22"/>
        </w:rPr>
        <w:t>direct bonds</w:t>
      </w:r>
    </w:p>
    <w:p w14:paraId="6CEA9902" w14:textId="59D30D1C" w:rsidR="00771E54" w:rsidRPr="00771E54" w:rsidRDefault="00771E54" w:rsidP="00CE5C29">
      <w:pPr>
        <w:pStyle w:val="ListParagraph"/>
        <w:numPr>
          <w:ilvl w:val="0"/>
          <w:numId w:val="9"/>
        </w:numPr>
        <w:spacing w:line="240" w:lineRule="auto"/>
        <w:ind w:left="284" w:hanging="284"/>
        <w:rPr>
          <w:rFonts w:ascii="Arial" w:hAnsi="Arial" w:cs="Arial"/>
          <w:color w:val="000000" w:themeColor="text1"/>
          <w:sz w:val="22"/>
          <w:szCs w:val="22"/>
        </w:rPr>
      </w:pPr>
      <w:r w:rsidRPr="00771E54">
        <w:rPr>
          <w:rFonts w:ascii="Arial" w:hAnsi="Arial" w:cs="Arial"/>
          <w:color w:val="000000" w:themeColor="text1"/>
          <w:sz w:val="22"/>
          <w:szCs w:val="22"/>
        </w:rPr>
        <w:t>managed investments</w:t>
      </w:r>
    </w:p>
    <w:p w14:paraId="70B70473" w14:textId="7CD7B25D" w:rsidR="00771E54" w:rsidRPr="00771E54" w:rsidRDefault="00EC08F3" w:rsidP="00CE5C29">
      <w:pPr>
        <w:pStyle w:val="ListParagraph"/>
        <w:numPr>
          <w:ilvl w:val="0"/>
          <w:numId w:val="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v</w:t>
      </w:r>
      <w:r w:rsidR="00BA7EF1">
        <w:rPr>
          <w:rFonts w:ascii="Arial" w:hAnsi="Arial" w:cs="Arial"/>
          <w:color w:val="000000" w:themeColor="text1"/>
          <w:sz w:val="22"/>
          <w:szCs w:val="22"/>
        </w:rPr>
        <w:t xml:space="preserve">oluntary </w:t>
      </w:r>
      <w:r w:rsidR="00E534B8">
        <w:rPr>
          <w:rFonts w:ascii="Arial" w:hAnsi="Arial" w:cs="Arial"/>
          <w:color w:val="000000" w:themeColor="text1"/>
          <w:sz w:val="22"/>
          <w:szCs w:val="22"/>
        </w:rPr>
        <w:t xml:space="preserve">retirement </w:t>
      </w:r>
      <w:r w:rsidR="00BA7EF1">
        <w:rPr>
          <w:rFonts w:ascii="Arial" w:hAnsi="Arial" w:cs="Arial"/>
          <w:color w:val="000000" w:themeColor="text1"/>
          <w:sz w:val="22"/>
          <w:szCs w:val="22"/>
        </w:rPr>
        <w:t xml:space="preserve">savings scheme </w:t>
      </w:r>
    </w:p>
    <w:p w14:paraId="3832AE8F" w14:textId="44532252" w:rsidR="00771E54" w:rsidRPr="00771E54" w:rsidRDefault="00BA7EF1" w:rsidP="00CE5C29">
      <w:pPr>
        <w:spacing w:line="240" w:lineRule="auto"/>
        <w:rPr>
          <w:rFonts w:ascii="Arial" w:hAnsi="Arial" w:cs="Arial"/>
          <w:color w:val="000000" w:themeColor="text1"/>
          <w:sz w:val="22"/>
          <w:szCs w:val="22"/>
        </w:rPr>
      </w:pPr>
      <w:r>
        <w:rPr>
          <w:rFonts w:ascii="Arial" w:hAnsi="Arial" w:cs="Arial"/>
          <w:color w:val="000000" w:themeColor="text1"/>
          <w:sz w:val="22"/>
          <w:szCs w:val="22"/>
        </w:rPr>
        <w:t>C</w:t>
      </w:r>
      <w:r w:rsidR="00771E54" w:rsidRPr="00771E54">
        <w:rPr>
          <w:rFonts w:ascii="Arial" w:hAnsi="Arial" w:cs="Arial"/>
          <w:color w:val="000000" w:themeColor="text1"/>
          <w:sz w:val="22"/>
          <w:szCs w:val="22"/>
        </w:rPr>
        <w:t>haracteristics may include but are not limited to – fee structures, liquidity, taxation, standard terms and conditions.</w:t>
      </w:r>
    </w:p>
    <w:p w14:paraId="4723AB40" w14:textId="3F79355E" w:rsidR="00995671" w:rsidRDefault="00FB51A5"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Investment services</w:t>
      </w:r>
    </w:p>
    <w:p w14:paraId="61B2925E" w14:textId="20D6E74E" w:rsidR="008E7E82" w:rsidRPr="008E7E82" w:rsidRDefault="008E7E82" w:rsidP="00CE5C29">
      <w:pPr>
        <w:pStyle w:val="ListParagraph"/>
        <w:numPr>
          <w:ilvl w:val="0"/>
          <w:numId w:val="10"/>
        </w:numPr>
        <w:spacing w:line="240" w:lineRule="auto"/>
        <w:ind w:left="284" w:hanging="284"/>
        <w:rPr>
          <w:rFonts w:ascii="Arial" w:hAnsi="Arial" w:cs="Arial"/>
          <w:color w:val="000000" w:themeColor="text1"/>
          <w:sz w:val="22"/>
          <w:szCs w:val="22"/>
        </w:rPr>
      </w:pPr>
      <w:r w:rsidRPr="008E7E82">
        <w:rPr>
          <w:rFonts w:ascii="Arial" w:hAnsi="Arial" w:cs="Arial"/>
          <w:color w:val="000000" w:themeColor="text1"/>
          <w:sz w:val="22"/>
          <w:szCs w:val="22"/>
        </w:rPr>
        <w:t>custody</w:t>
      </w:r>
    </w:p>
    <w:p w14:paraId="6CFE2A5F" w14:textId="5FD48722" w:rsidR="008E7E82" w:rsidRPr="008E7E82" w:rsidRDefault="008E7E82" w:rsidP="00CE5C29">
      <w:pPr>
        <w:pStyle w:val="ListParagraph"/>
        <w:numPr>
          <w:ilvl w:val="0"/>
          <w:numId w:val="10"/>
        </w:numPr>
        <w:spacing w:line="240" w:lineRule="auto"/>
        <w:ind w:left="284" w:hanging="284"/>
        <w:rPr>
          <w:rFonts w:ascii="Arial" w:hAnsi="Arial" w:cs="Arial"/>
          <w:color w:val="000000" w:themeColor="text1"/>
          <w:sz w:val="22"/>
          <w:szCs w:val="22"/>
        </w:rPr>
      </w:pPr>
      <w:r w:rsidRPr="008E7E82">
        <w:rPr>
          <w:rFonts w:ascii="Arial" w:hAnsi="Arial" w:cs="Arial"/>
          <w:color w:val="000000" w:themeColor="text1"/>
          <w:sz w:val="22"/>
          <w:szCs w:val="22"/>
        </w:rPr>
        <w:t>wrap platforms</w:t>
      </w:r>
    </w:p>
    <w:p w14:paraId="3F6E491E" w14:textId="4AD2DAAF" w:rsidR="008E7E82" w:rsidRPr="008E7E82" w:rsidRDefault="008E7E82" w:rsidP="00CE5C29">
      <w:pPr>
        <w:pStyle w:val="ListParagraph"/>
        <w:numPr>
          <w:ilvl w:val="0"/>
          <w:numId w:val="10"/>
        </w:numPr>
        <w:spacing w:line="240" w:lineRule="auto"/>
        <w:ind w:left="284" w:hanging="284"/>
        <w:rPr>
          <w:rFonts w:ascii="Arial" w:hAnsi="Arial" w:cs="Arial"/>
          <w:color w:val="000000" w:themeColor="text1"/>
          <w:sz w:val="22"/>
          <w:szCs w:val="22"/>
        </w:rPr>
      </w:pPr>
      <w:r w:rsidRPr="008E7E82">
        <w:rPr>
          <w:rFonts w:ascii="Arial" w:hAnsi="Arial" w:cs="Arial"/>
          <w:color w:val="000000" w:themeColor="text1"/>
          <w:sz w:val="22"/>
          <w:szCs w:val="22"/>
        </w:rPr>
        <w:t>Discretionary Investment Managemen</w:t>
      </w:r>
      <w:r>
        <w:rPr>
          <w:rFonts w:ascii="Arial" w:hAnsi="Arial" w:cs="Arial"/>
          <w:color w:val="000000" w:themeColor="text1"/>
          <w:sz w:val="22"/>
          <w:szCs w:val="22"/>
        </w:rPr>
        <w:t xml:space="preserve">t </w:t>
      </w:r>
    </w:p>
    <w:p w14:paraId="04F7EAC7" w14:textId="2FD885C5" w:rsidR="008E7E82" w:rsidRPr="008E7E82" w:rsidRDefault="008E7E82" w:rsidP="00CE5C29">
      <w:pPr>
        <w:spacing w:line="240" w:lineRule="auto"/>
        <w:ind w:left="284" w:hanging="284"/>
        <w:rPr>
          <w:rFonts w:ascii="Arial" w:hAnsi="Arial" w:cs="Arial"/>
          <w:color w:val="000000" w:themeColor="text1"/>
          <w:sz w:val="22"/>
          <w:szCs w:val="22"/>
        </w:rPr>
      </w:pPr>
      <w:r w:rsidRPr="008E7E82">
        <w:rPr>
          <w:rFonts w:ascii="Arial" w:hAnsi="Arial" w:cs="Arial"/>
          <w:color w:val="000000" w:themeColor="text1"/>
          <w:sz w:val="22"/>
          <w:szCs w:val="22"/>
        </w:rPr>
        <w:tab/>
      </w:r>
      <w:r w:rsidR="00CD40DD">
        <w:rPr>
          <w:rFonts w:ascii="Arial" w:hAnsi="Arial" w:cs="Arial"/>
          <w:color w:val="000000" w:themeColor="text1"/>
          <w:sz w:val="22"/>
          <w:szCs w:val="22"/>
        </w:rPr>
        <w:t>C</w:t>
      </w:r>
      <w:r w:rsidRPr="008E7E82">
        <w:rPr>
          <w:rFonts w:ascii="Arial" w:hAnsi="Arial" w:cs="Arial"/>
          <w:color w:val="000000" w:themeColor="text1"/>
          <w:sz w:val="22"/>
          <w:szCs w:val="22"/>
        </w:rPr>
        <w:t>haracteristics may include but are not limited to – fee structures, liquidity, taxation, standard terms and conditions.</w:t>
      </w:r>
    </w:p>
    <w:p w14:paraId="017B3B28" w14:textId="6A690911" w:rsidR="00DA3779" w:rsidRDefault="00DE6A54"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T</w:t>
      </w:r>
      <w:r w:rsidRPr="00DE6A54">
        <w:rPr>
          <w:rFonts w:ascii="Arial" w:hAnsi="Arial" w:cs="Arial"/>
          <w:color w:val="000000" w:themeColor="text1"/>
          <w:sz w:val="22"/>
          <w:szCs w:val="22"/>
        </w:rPr>
        <w:t>ime value of money calculations to analyse or quantify common investment goals and objective</w:t>
      </w:r>
      <w:r>
        <w:rPr>
          <w:rFonts w:ascii="Arial" w:hAnsi="Arial" w:cs="Arial"/>
          <w:color w:val="000000" w:themeColor="text1"/>
          <w:sz w:val="22"/>
          <w:szCs w:val="22"/>
        </w:rPr>
        <w:t>s</w:t>
      </w:r>
    </w:p>
    <w:p w14:paraId="0517DA6B" w14:textId="75B68E7E" w:rsidR="005C4F27" w:rsidRPr="003D20AB"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present value of a future lump sum</w:t>
      </w:r>
    </w:p>
    <w:p w14:paraId="7755BE13" w14:textId="52AC8DC8" w:rsidR="005C4F27" w:rsidRPr="003D20AB"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present value of a future cash flow</w:t>
      </w:r>
    </w:p>
    <w:p w14:paraId="098478DF" w14:textId="561A510C" w:rsidR="005C4F27" w:rsidRPr="003D20AB"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future value of a current lump sum</w:t>
      </w:r>
    </w:p>
    <w:p w14:paraId="230832E6" w14:textId="25584486" w:rsidR="005C4F27" w:rsidRPr="003D20AB"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future value of a cash flo</w:t>
      </w:r>
      <w:r w:rsidR="00677EAA">
        <w:rPr>
          <w:rFonts w:ascii="Arial" w:hAnsi="Arial" w:cs="Arial"/>
          <w:color w:val="000000" w:themeColor="text1"/>
          <w:sz w:val="22"/>
          <w:szCs w:val="22"/>
        </w:rPr>
        <w:t>w</w:t>
      </w:r>
    </w:p>
    <w:p w14:paraId="5D1909F5" w14:textId="4B944CB6" w:rsidR="005C4F27" w:rsidRPr="003D20AB"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regular payment required to create a future value</w:t>
      </w:r>
    </w:p>
    <w:p w14:paraId="258A923C" w14:textId="0E8B60EB" w:rsidR="005C4F27" w:rsidRDefault="005C4F27" w:rsidP="00CE5C29">
      <w:pPr>
        <w:pStyle w:val="ListParagraph"/>
        <w:numPr>
          <w:ilvl w:val="0"/>
          <w:numId w:val="7"/>
        </w:numPr>
        <w:spacing w:line="240" w:lineRule="auto"/>
        <w:ind w:left="284" w:hanging="284"/>
        <w:rPr>
          <w:rFonts w:ascii="Arial" w:hAnsi="Arial" w:cs="Arial"/>
          <w:color w:val="000000" w:themeColor="text1"/>
          <w:sz w:val="22"/>
          <w:szCs w:val="22"/>
        </w:rPr>
      </w:pPr>
      <w:r w:rsidRPr="003D20AB">
        <w:rPr>
          <w:rFonts w:ascii="Arial" w:hAnsi="Arial" w:cs="Arial"/>
          <w:color w:val="000000" w:themeColor="text1"/>
          <w:sz w:val="22"/>
          <w:szCs w:val="22"/>
        </w:rPr>
        <w:t>regular payment from a current lump sum</w:t>
      </w:r>
      <w:r w:rsidR="00677EAA">
        <w:rPr>
          <w:rFonts w:ascii="Arial" w:hAnsi="Arial" w:cs="Arial"/>
          <w:color w:val="000000" w:themeColor="text1"/>
          <w:sz w:val="22"/>
          <w:szCs w:val="22"/>
        </w:rPr>
        <w:t xml:space="preserve">. </w:t>
      </w:r>
    </w:p>
    <w:p w14:paraId="1AACE13C" w14:textId="15BED165" w:rsidR="00D450A3" w:rsidRDefault="00D450A3" w:rsidP="00D450A3">
      <w:pPr>
        <w:spacing w:line="240" w:lineRule="auto"/>
        <w:rPr>
          <w:rFonts w:ascii="Arial" w:hAnsi="Arial" w:cs="Arial"/>
          <w:color w:val="000000" w:themeColor="text1"/>
          <w:sz w:val="22"/>
          <w:szCs w:val="22"/>
        </w:rPr>
      </w:pPr>
      <w:r>
        <w:rPr>
          <w:rFonts w:ascii="Arial" w:hAnsi="Arial" w:cs="Arial"/>
          <w:color w:val="000000" w:themeColor="text1"/>
          <w:sz w:val="22"/>
          <w:szCs w:val="22"/>
        </w:rPr>
        <w:t>Economic environment</w:t>
      </w:r>
    </w:p>
    <w:p w14:paraId="32312C17" w14:textId="77777777"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 xml:space="preserve">international economic and business cycles, </w:t>
      </w:r>
    </w:p>
    <w:p w14:paraId="649640E3" w14:textId="77777777"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 xml:space="preserve">local economic and business cycles, </w:t>
      </w:r>
    </w:p>
    <w:p w14:paraId="1A36C663" w14:textId="77777777"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 xml:space="preserve">interest rates, </w:t>
      </w:r>
    </w:p>
    <w:p w14:paraId="49FFF795" w14:textId="77777777"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lastRenderedPageBreak/>
        <w:t>exchange rates,</w:t>
      </w:r>
    </w:p>
    <w:p w14:paraId="0F25DF4D" w14:textId="10EA8839"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inflation,</w:t>
      </w:r>
    </w:p>
    <w:p w14:paraId="4598E1A0" w14:textId="5AF21A40"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 xml:space="preserve">government monetary and fiscal policies, </w:t>
      </w:r>
    </w:p>
    <w:p w14:paraId="1F18EADC" w14:textId="3AF434C3" w:rsidR="001D2995" w:rsidRPr="001D2995" w:rsidRDefault="001D2995" w:rsidP="00CE5C29">
      <w:pPr>
        <w:pStyle w:val="ListParagraph"/>
        <w:numPr>
          <w:ilvl w:val="0"/>
          <w:numId w:val="11"/>
        </w:numPr>
        <w:spacing w:line="240" w:lineRule="auto"/>
        <w:ind w:left="284" w:hanging="284"/>
        <w:rPr>
          <w:rFonts w:ascii="Arial" w:hAnsi="Arial" w:cs="Arial"/>
          <w:color w:val="000000" w:themeColor="text1"/>
          <w:sz w:val="22"/>
          <w:szCs w:val="22"/>
        </w:rPr>
      </w:pPr>
      <w:r w:rsidRPr="001D2995">
        <w:rPr>
          <w:rFonts w:ascii="Arial" w:hAnsi="Arial" w:cs="Arial"/>
          <w:color w:val="000000" w:themeColor="text1"/>
          <w:sz w:val="22"/>
          <w:szCs w:val="22"/>
        </w:rPr>
        <w:t>regulatory and tax regimes.</w:t>
      </w:r>
    </w:p>
    <w:p w14:paraId="6851B9E7" w14:textId="5CD2F9ED" w:rsidR="00E3621B" w:rsidRDefault="00B60757" w:rsidP="00CE5C29">
      <w:pPr>
        <w:spacing w:line="240" w:lineRule="auto"/>
        <w:ind w:left="284" w:hanging="284"/>
        <w:rPr>
          <w:rFonts w:ascii="Arial" w:hAnsi="Arial" w:cs="Arial"/>
          <w:sz w:val="22"/>
          <w:szCs w:val="22"/>
        </w:rPr>
      </w:pPr>
      <w:r>
        <w:rPr>
          <w:rFonts w:ascii="Arial" w:hAnsi="Arial" w:cs="Arial"/>
          <w:sz w:val="22"/>
          <w:szCs w:val="22"/>
        </w:rPr>
        <w:t>F</w:t>
      </w:r>
      <w:r w:rsidRPr="00B60757">
        <w:rPr>
          <w:rFonts w:ascii="Arial" w:hAnsi="Arial" w:cs="Arial"/>
          <w:sz w:val="22"/>
          <w:szCs w:val="22"/>
        </w:rPr>
        <w:t xml:space="preserve">eatures, benefits, risks, and limitations of </w:t>
      </w:r>
      <w:r w:rsidR="001B3787">
        <w:rPr>
          <w:rFonts w:ascii="Arial" w:hAnsi="Arial" w:cs="Arial"/>
          <w:sz w:val="22"/>
          <w:szCs w:val="22"/>
        </w:rPr>
        <w:t xml:space="preserve">assets </w:t>
      </w:r>
      <w:r w:rsidRPr="00B60757">
        <w:rPr>
          <w:rFonts w:ascii="Arial" w:hAnsi="Arial" w:cs="Arial"/>
          <w:sz w:val="22"/>
          <w:szCs w:val="22"/>
        </w:rPr>
        <w:t>and services</w:t>
      </w:r>
    </w:p>
    <w:p w14:paraId="14AC0B9F" w14:textId="2504A753" w:rsidR="001B3787" w:rsidRPr="001B3787" w:rsidRDefault="00FB29C7" w:rsidP="00CE5C29">
      <w:pPr>
        <w:pStyle w:val="ListParagraph"/>
        <w:numPr>
          <w:ilvl w:val="0"/>
          <w:numId w:val="5"/>
        </w:numPr>
        <w:spacing w:line="240" w:lineRule="auto"/>
        <w:ind w:left="284" w:hanging="284"/>
        <w:rPr>
          <w:rFonts w:ascii="Arial" w:hAnsi="Arial" w:cs="Arial"/>
          <w:sz w:val="22"/>
          <w:szCs w:val="22"/>
        </w:rPr>
      </w:pPr>
      <w:r>
        <w:rPr>
          <w:rFonts w:ascii="Arial" w:hAnsi="Arial" w:cs="Arial"/>
          <w:sz w:val="22"/>
          <w:szCs w:val="22"/>
        </w:rPr>
        <w:t>v</w:t>
      </w:r>
      <w:r w:rsidR="001B3787" w:rsidRPr="001B3787">
        <w:rPr>
          <w:rFonts w:ascii="Arial" w:hAnsi="Arial" w:cs="Arial"/>
          <w:sz w:val="22"/>
          <w:szCs w:val="22"/>
        </w:rPr>
        <w:t xml:space="preserve">oluntary </w:t>
      </w:r>
      <w:r w:rsidR="00603710">
        <w:rPr>
          <w:rFonts w:ascii="Arial" w:hAnsi="Arial" w:cs="Arial"/>
          <w:sz w:val="22"/>
          <w:szCs w:val="22"/>
        </w:rPr>
        <w:t xml:space="preserve">retirement </w:t>
      </w:r>
      <w:r w:rsidR="001B3787" w:rsidRPr="001B3787">
        <w:rPr>
          <w:rFonts w:ascii="Arial" w:hAnsi="Arial" w:cs="Arial"/>
          <w:sz w:val="22"/>
          <w:szCs w:val="22"/>
        </w:rPr>
        <w:t>savings scheme</w:t>
      </w:r>
    </w:p>
    <w:p w14:paraId="737150B1" w14:textId="7169E3FD" w:rsidR="001B3787" w:rsidRPr="001B3787" w:rsidRDefault="001B3787" w:rsidP="00CE5C29">
      <w:pPr>
        <w:pStyle w:val="ListParagraph"/>
        <w:numPr>
          <w:ilvl w:val="0"/>
          <w:numId w:val="5"/>
        </w:numPr>
        <w:spacing w:line="240" w:lineRule="auto"/>
        <w:ind w:left="284" w:hanging="284"/>
        <w:rPr>
          <w:rFonts w:ascii="Arial" w:hAnsi="Arial" w:cs="Arial"/>
          <w:sz w:val="22"/>
          <w:szCs w:val="22"/>
        </w:rPr>
      </w:pPr>
      <w:r w:rsidRPr="001B3787">
        <w:rPr>
          <w:rFonts w:ascii="Arial" w:hAnsi="Arial" w:cs="Arial"/>
          <w:sz w:val="22"/>
          <w:szCs w:val="22"/>
        </w:rPr>
        <w:t>direct securities</w:t>
      </w:r>
    </w:p>
    <w:p w14:paraId="0BE40472" w14:textId="215403DE" w:rsidR="001B3787" w:rsidRPr="001B3787" w:rsidRDefault="001B3787" w:rsidP="00CE5C29">
      <w:pPr>
        <w:pStyle w:val="ListParagraph"/>
        <w:numPr>
          <w:ilvl w:val="0"/>
          <w:numId w:val="5"/>
        </w:numPr>
        <w:spacing w:line="240" w:lineRule="auto"/>
        <w:ind w:left="284" w:hanging="284"/>
        <w:rPr>
          <w:rFonts w:ascii="Arial" w:hAnsi="Arial" w:cs="Arial"/>
          <w:sz w:val="22"/>
          <w:szCs w:val="22"/>
        </w:rPr>
      </w:pPr>
      <w:r w:rsidRPr="001B3787">
        <w:rPr>
          <w:rFonts w:ascii="Arial" w:hAnsi="Arial" w:cs="Arial"/>
          <w:sz w:val="22"/>
          <w:szCs w:val="22"/>
        </w:rPr>
        <w:t>managed securities</w:t>
      </w:r>
    </w:p>
    <w:p w14:paraId="20FB2D76" w14:textId="7466CA72" w:rsidR="001B3787" w:rsidRDefault="001B3787" w:rsidP="00CE5C29">
      <w:pPr>
        <w:pStyle w:val="ListParagraph"/>
        <w:numPr>
          <w:ilvl w:val="0"/>
          <w:numId w:val="5"/>
        </w:numPr>
        <w:spacing w:line="240" w:lineRule="auto"/>
        <w:ind w:left="284" w:hanging="284"/>
        <w:rPr>
          <w:rFonts w:ascii="Arial" w:hAnsi="Arial" w:cs="Arial"/>
          <w:sz w:val="22"/>
          <w:szCs w:val="22"/>
        </w:rPr>
      </w:pPr>
      <w:r w:rsidRPr="001B3787">
        <w:rPr>
          <w:rFonts w:ascii="Arial" w:hAnsi="Arial" w:cs="Arial"/>
          <w:sz w:val="22"/>
          <w:szCs w:val="22"/>
        </w:rPr>
        <w:t>real property</w:t>
      </w:r>
      <w:r w:rsidR="00013E1C">
        <w:rPr>
          <w:rFonts w:ascii="Arial" w:hAnsi="Arial" w:cs="Arial"/>
          <w:sz w:val="22"/>
          <w:szCs w:val="22"/>
        </w:rPr>
        <w:t xml:space="preserve">. </w:t>
      </w:r>
    </w:p>
    <w:p w14:paraId="1122DB6F" w14:textId="0B99DBFC" w:rsidR="00D37EE0" w:rsidRDefault="00D37EE0" w:rsidP="00CE5C29">
      <w:pPr>
        <w:spacing w:line="240" w:lineRule="auto"/>
        <w:ind w:left="284" w:hanging="284"/>
        <w:rPr>
          <w:rFonts w:ascii="Arial" w:hAnsi="Arial" w:cs="Arial"/>
          <w:sz w:val="22"/>
          <w:szCs w:val="22"/>
        </w:rPr>
      </w:pPr>
      <w:r>
        <w:rPr>
          <w:rFonts w:ascii="Arial" w:hAnsi="Arial" w:cs="Arial"/>
          <w:sz w:val="22"/>
          <w:szCs w:val="22"/>
        </w:rPr>
        <w:t xml:space="preserve">Quantitative analysis techniques </w:t>
      </w:r>
    </w:p>
    <w:p w14:paraId="1A69C701" w14:textId="5EB21A81" w:rsidR="00DA3779" w:rsidRPr="00DA3779" w:rsidRDefault="00DA3779" w:rsidP="00CE5C29">
      <w:pPr>
        <w:pStyle w:val="ListParagraph"/>
        <w:numPr>
          <w:ilvl w:val="0"/>
          <w:numId w:val="6"/>
        </w:numPr>
        <w:spacing w:line="240" w:lineRule="auto"/>
        <w:ind w:left="284" w:hanging="284"/>
        <w:rPr>
          <w:rFonts w:ascii="Arial" w:hAnsi="Arial" w:cs="Arial"/>
          <w:sz w:val="22"/>
          <w:szCs w:val="22"/>
        </w:rPr>
      </w:pPr>
      <w:r w:rsidRPr="00DA3779">
        <w:rPr>
          <w:rFonts w:ascii="Arial" w:hAnsi="Arial" w:cs="Arial"/>
          <w:sz w:val="22"/>
          <w:szCs w:val="22"/>
        </w:rPr>
        <w:t>investment valuation and management</w:t>
      </w:r>
    </w:p>
    <w:p w14:paraId="280E3ADC" w14:textId="71AFACD7" w:rsidR="00DA3779" w:rsidRPr="00DA3779" w:rsidRDefault="00DA3779" w:rsidP="00CE5C29">
      <w:pPr>
        <w:pStyle w:val="ListParagraph"/>
        <w:numPr>
          <w:ilvl w:val="0"/>
          <w:numId w:val="6"/>
        </w:numPr>
        <w:spacing w:line="240" w:lineRule="auto"/>
        <w:ind w:left="284" w:hanging="284"/>
        <w:rPr>
          <w:rFonts w:ascii="Arial" w:hAnsi="Arial" w:cs="Arial"/>
          <w:sz w:val="22"/>
          <w:szCs w:val="22"/>
        </w:rPr>
      </w:pPr>
      <w:r w:rsidRPr="00DA3779">
        <w:rPr>
          <w:rFonts w:ascii="Arial" w:hAnsi="Arial" w:cs="Arial"/>
          <w:sz w:val="22"/>
          <w:szCs w:val="22"/>
        </w:rPr>
        <w:t>measuring share performance</w:t>
      </w:r>
    </w:p>
    <w:p w14:paraId="01BB828D" w14:textId="7539A07D" w:rsidR="00DA3779" w:rsidRPr="00DA3779" w:rsidRDefault="00DA3779" w:rsidP="00CE5C29">
      <w:pPr>
        <w:pStyle w:val="ListParagraph"/>
        <w:numPr>
          <w:ilvl w:val="0"/>
          <w:numId w:val="6"/>
        </w:numPr>
        <w:spacing w:line="240" w:lineRule="auto"/>
        <w:ind w:left="284" w:hanging="284"/>
        <w:rPr>
          <w:rFonts w:ascii="Arial" w:hAnsi="Arial" w:cs="Arial"/>
          <w:sz w:val="22"/>
          <w:szCs w:val="22"/>
        </w:rPr>
      </w:pPr>
      <w:r w:rsidRPr="00DA3779">
        <w:rPr>
          <w:rFonts w:ascii="Arial" w:hAnsi="Arial" w:cs="Arial"/>
          <w:sz w:val="22"/>
          <w:szCs w:val="22"/>
        </w:rPr>
        <w:t xml:space="preserve">measuring bond performance, </w:t>
      </w:r>
    </w:p>
    <w:p w14:paraId="443C84CA" w14:textId="1CAA1760" w:rsidR="00DA3779" w:rsidRPr="00DA3779" w:rsidRDefault="00DA3779" w:rsidP="00CE5C29">
      <w:pPr>
        <w:pStyle w:val="ListParagraph"/>
        <w:numPr>
          <w:ilvl w:val="0"/>
          <w:numId w:val="6"/>
        </w:numPr>
        <w:spacing w:line="240" w:lineRule="auto"/>
        <w:ind w:left="284" w:hanging="284"/>
        <w:rPr>
          <w:rFonts w:ascii="Arial" w:hAnsi="Arial" w:cs="Arial"/>
          <w:sz w:val="22"/>
          <w:szCs w:val="22"/>
        </w:rPr>
      </w:pPr>
      <w:r>
        <w:rPr>
          <w:rFonts w:ascii="Arial" w:hAnsi="Arial" w:cs="Arial"/>
          <w:sz w:val="22"/>
          <w:szCs w:val="22"/>
        </w:rPr>
        <w:t>e</w:t>
      </w:r>
      <w:r w:rsidRPr="00DA3779">
        <w:rPr>
          <w:rFonts w:ascii="Arial" w:hAnsi="Arial" w:cs="Arial"/>
          <w:sz w:val="22"/>
          <w:szCs w:val="22"/>
        </w:rPr>
        <w:t>valuating managed investment performance</w:t>
      </w:r>
    </w:p>
    <w:p w14:paraId="144EE5E9" w14:textId="118C08DB" w:rsidR="00D37EE0" w:rsidRPr="00DA3779" w:rsidRDefault="00DA3779" w:rsidP="00CE5C29">
      <w:pPr>
        <w:pStyle w:val="ListParagraph"/>
        <w:numPr>
          <w:ilvl w:val="0"/>
          <w:numId w:val="6"/>
        </w:numPr>
        <w:spacing w:line="240" w:lineRule="auto"/>
        <w:ind w:left="284" w:hanging="284"/>
        <w:rPr>
          <w:rFonts w:ascii="Arial" w:hAnsi="Arial" w:cs="Arial"/>
          <w:sz w:val="22"/>
          <w:szCs w:val="22"/>
        </w:rPr>
      </w:pPr>
      <w:r w:rsidRPr="00DA3779">
        <w:rPr>
          <w:rFonts w:ascii="Arial" w:hAnsi="Arial" w:cs="Arial"/>
          <w:sz w:val="22"/>
          <w:szCs w:val="22"/>
        </w:rPr>
        <w:t>measuring portfolio performance.</w:t>
      </w:r>
    </w:p>
    <w:p w14:paraId="63AB6651" w14:textId="03BB5523" w:rsidR="002B0978" w:rsidRDefault="00E771EC" w:rsidP="002B0978">
      <w:pPr>
        <w:spacing w:line="240" w:lineRule="auto"/>
        <w:rPr>
          <w:rFonts w:ascii="Arial" w:hAnsi="Arial" w:cs="Arial"/>
          <w:color w:val="000000" w:themeColor="text1"/>
          <w:sz w:val="22"/>
          <w:szCs w:val="22"/>
        </w:rPr>
      </w:pPr>
      <w:r>
        <w:rPr>
          <w:rFonts w:ascii="Arial" w:hAnsi="Arial" w:cs="Arial"/>
          <w:color w:val="000000" w:themeColor="text1"/>
          <w:sz w:val="22"/>
          <w:szCs w:val="22"/>
        </w:rPr>
        <w:t>Asset</w:t>
      </w:r>
      <w:r w:rsidR="009D6875">
        <w:rPr>
          <w:rFonts w:ascii="Arial" w:hAnsi="Arial" w:cs="Arial"/>
          <w:color w:val="000000" w:themeColor="text1"/>
          <w:sz w:val="22"/>
          <w:szCs w:val="22"/>
        </w:rPr>
        <w:t xml:space="preserve"> ownership considerations</w:t>
      </w:r>
    </w:p>
    <w:p w14:paraId="58D89E1B" w14:textId="70294D51" w:rsidR="009D6875" w:rsidRDefault="009D6875" w:rsidP="00CE5C29">
      <w:pPr>
        <w:pStyle w:val="ListParagraph"/>
        <w:numPr>
          <w:ilvl w:val="0"/>
          <w:numId w:val="4"/>
        </w:numPr>
        <w:spacing w:line="240" w:lineRule="auto"/>
        <w:ind w:left="284" w:hanging="284"/>
        <w:rPr>
          <w:rFonts w:ascii="Arial" w:hAnsi="Arial" w:cs="Arial"/>
          <w:color w:val="000000" w:themeColor="text1"/>
          <w:sz w:val="22"/>
          <w:szCs w:val="22"/>
        </w:rPr>
      </w:pPr>
      <w:r w:rsidRPr="009D6875">
        <w:rPr>
          <w:rFonts w:ascii="Arial" w:hAnsi="Arial" w:cs="Arial"/>
          <w:color w:val="000000" w:themeColor="text1"/>
          <w:sz w:val="22"/>
          <w:szCs w:val="22"/>
        </w:rPr>
        <w:t>legal or tax implications.</w:t>
      </w:r>
    </w:p>
    <w:p w14:paraId="566D87DE" w14:textId="2EB53186" w:rsidR="009D6875" w:rsidRDefault="004B6694" w:rsidP="00CE5C29">
      <w:p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Common policy o</w:t>
      </w:r>
      <w:r w:rsidR="00B1728C">
        <w:rPr>
          <w:rFonts w:ascii="Arial" w:hAnsi="Arial" w:cs="Arial"/>
          <w:color w:val="000000" w:themeColor="text1"/>
          <w:sz w:val="22"/>
          <w:szCs w:val="22"/>
        </w:rPr>
        <w:t>wnership structures</w:t>
      </w:r>
      <w:r w:rsidR="00751E4E">
        <w:rPr>
          <w:rFonts w:ascii="Arial" w:hAnsi="Arial" w:cs="Arial"/>
          <w:color w:val="000000" w:themeColor="text1"/>
          <w:sz w:val="22"/>
          <w:szCs w:val="22"/>
        </w:rPr>
        <w:t xml:space="preserve"> </w:t>
      </w:r>
    </w:p>
    <w:p w14:paraId="4787296B" w14:textId="47DC444D" w:rsidR="00B1728C" w:rsidRPr="00751E4E" w:rsidRDefault="000524EB" w:rsidP="00CE5C29">
      <w:pPr>
        <w:pStyle w:val="ListParagraph"/>
        <w:numPr>
          <w:ilvl w:val="0"/>
          <w:numId w:val="4"/>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w:t>
      </w:r>
      <w:r w:rsidR="00B1728C" w:rsidRPr="00751E4E">
        <w:rPr>
          <w:rFonts w:ascii="Arial" w:hAnsi="Arial" w:cs="Arial"/>
          <w:color w:val="000000" w:themeColor="text1"/>
          <w:sz w:val="22"/>
          <w:szCs w:val="22"/>
        </w:rPr>
        <w:t xml:space="preserve">ersonal ownership </w:t>
      </w:r>
    </w:p>
    <w:p w14:paraId="487698B4" w14:textId="058D0924" w:rsidR="00B1728C" w:rsidRPr="00751E4E" w:rsidRDefault="00B1728C" w:rsidP="00CE5C29">
      <w:pPr>
        <w:pStyle w:val="ListParagraph"/>
        <w:numPr>
          <w:ilvl w:val="0"/>
          <w:numId w:val="4"/>
        </w:numPr>
        <w:spacing w:line="240" w:lineRule="auto"/>
        <w:ind w:left="284" w:hanging="284"/>
        <w:rPr>
          <w:rFonts w:ascii="Arial" w:hAnsi="Arial" w:cs="Arial"/>
          <w:color w:val="000000" w:themeColor="text1"/>
          <w:sz w:val="22"/>
          <w:szCs w:val="22"/>
        </w:rPr>
      </w:pPr>
      <w:r w:rsidRPr="00751E4E">
        <w:rPr>
          <w:rFonts w:ascii="Arial" w:hAnsi="Arial" w:cs="Arial"/>
          <w:color w:val="000000" w:themeColor="text1"/>
          <w:sz w:val="22"/>
          <w:szCs w:val="22"/>
        </w:rPr>
        <w:t>joint tenants</w:t>
      </w:r>
    </w:p>
    <w:p w14:paraId="3AF5C1F9" w14:textId="1DE29D4B" w:rsidR="00B1728C" w:rsidRPr="00751E4E" w:rsidRDefault="00B1728C" w:rsidP="00CE5C29">
      <w:pPr>
        <w:pStyle w:val="ListParagraph"/>
        <w:numPr>
          <w:ilvl w:val="0"/>
          <w:numId w:val="4"/>
        </w:numPr>
        <w:spacing w:line="240" w:lineRule="auto"/>
        <w:ind w:left="284" w:hanging="284"/>
        <w:rPr>
          <w:rFonts w:ascii="Arial" w:hAnsi="Arial" w:cs="Arial"/>
          <w:color w:val="000000" w:themeColor="text1"/>
          <w:sz w:val="22"/>
          <w:szCs w:val="22"/>
        </w:rPr>
      </w:pPr>
      <w:r w:rsidRPr="00751E4E">
        <w:rPr>
          <w:rFonts w:ascii="Arial" w:hAnsi="Arial" w:cs="Arial"/>
          <w:color w:val="000000" w:themeColor="text1"/>
          <w:sz w:val="22"/>
          <w:szCs w:val="22"/>
        </w:rPr>
        <w:t>tenants in common</w:t>
      </w:r>
    </w:p>
    <w:p w14:paraId="24F6E334" w14:textId="6A144B93" w:rsidR="00B1728C" w:rsidRPr="00751E4E" w:rsidRDefault="00B1728C" w:rsidP="00CE5C29">
      <w:pPr>
        <w:pStyle w:val="ListParagraph"/>
        <w:numPr>
          <w:ilvl w:val="0"/>
          <w:numId w:val="4"/>
        </w:numPr>
        <w:spacing w:line="240" w:lineRule="auto"/>
        <w:ind w:left="284" w:hanging="284"/>
        <w:rPr>
          <w:rFonts w:ascii="Arial" w:hAnsi="Arial" w:cs="Arial"/>
          <w:color w:val="000000" w:themeColor="text1"/>
          <w:sz w:val="22"/>
          <w:szCs w:val="22"/>
        </w:rPr>
      </w:pPr>
      <w:r w:rsidRPr="00751E4E">
        <w:rPr>
          <w:rFonts w:ascii="Arial" w:hAnsi="Arial" w:cs="Arial"/>
          <w:color w:val="000000" w:themeColor="text1"/>
          <w:sz w:val="22"/>
          <w:szCs w:val="22"/>
        </w:rPr>
        <w:t>companies</w:t>
      </w:r>
    </w:p>
    <w:p w14:paraId="24A474D7" w14:textId="5F2AD40C" w:rsidR="00B1728C" w:rsidRPr="00751E4E" w:rsidRDefault="00B1728C" w:rsidP="00CE5C29">
      <w:pPr>
        <w:pStyle w:val="ListParagraph"/>
        <w:numPr>
          <w:ilvl w:val="0"/>
          <w:numId w:val="4"/>
        </w:numPr>
        <w:spacing w:line="240" w:lineRule="auto"/>
        <w:ind w:left="284" w:hanging="284"/>
        <w:rPr>
          <w:rFonts w:ascii="Arial" w:hAnsi="Arial" w:cs="Arial"/>
          <w:color w:val="000000" w:themeColor="text1"/>
          <w:sz w:val="22"/>
          <w:szCs w:val="22"/>
        </w:rPr>
      </w:pPr>
      <w:r w:rsidRPr="00751E4E">
        <w:rPr>
          <w:rFonts w:ascii="Arial" w:hAnsi="Arial" w:cs="Arial"/>
          <w:color w:val="000000" w:themeColor="text1"/>
          <w:sz w:val="22"/>
          <w:szCs w:val="22"/>
        </w:rPr>
        <w:t>trusts</w:t>
      </w:r>
    </w:p>
    <w:p w14:paraId="1C98CC57" w14:textId="335BF96C" w:rsidR="006F75D9" w:rsidRDefault="00B1728C" w:rsidP="00CE5C29">
      <w:pPr>
        <w:pStyle w:val="ListParagraph"/>
        <w:numPr>
          <w:ilvl w:val="0"/>
          <w:numId w:val="4"/>
        </w:numPr>
        <w:spacing w:line="240" w:lineRule="auto"/>
        <w:ind w:left="284" w:hanging="284"/>
        <w:rPr>
          <w:rFonts w:ascii="Arial" w:hAnsi="Arial" w:cs="Arial"/>
          <w:color w:val="000000" w:themeColor="text1"/>
          <w:sz w:val="22"/>
          <w:szCs w:val="22"/>
        </w:rPr>
      </w:pPr>
      <w:r w:rsidRPr="00751E4E">
        <w:rPr>
          <w:rFonts w:ascii="Arial" w:hAnsi="Arial" w:cs="Arial"/>
          <w:color w:val="000000" w:themeColor="text1"/>
          <w:sz w:val="22"/>
          <w:szCs w:val="22"/>
        </w:rPr>
        <w:t>partnerships</w:t>
      </w:r>
      <w:r w:rsidR="00E771EC">
        <w:rPr>
          <w:rFonts w:ascii="Arial" w:hAnsi="Arial" w:cs="Arial"/>
          <w:color w:val="000000" w:themeColor="text1"/>
          <w:sz w:val="22"/>
          <w:szCs w:val="22"/>
        </w:rPr>
        <w:t xml:space="preserve">. </w:t>
      </w:r>
    </w:p>
    <w:p w14:paraId="739919B5" w14:textId="77777777" w:rsidR="00160F88" w:rsidRDefault="00160F88" w:rsidP="00DC70E1">
      <w:pPr>
        <w:spacing w:line="240" w:lineRule="auto"/>
        <w:rPr>
          <w:rFonts w:ascii="Arial" w:hAnsi="Arial" w:cs="Arial"/>
          <w:b/>
          <w:bCs/>
          <w:color w:val="000000" w:themeColor="text1"/>
          <w:sz w:val="22"/>
          <w:szCs w:val="22"/>
        </w:rPr>
      </w:pPr>
    </w:p>
    <w:p w14:paraId="6A4E93F4" w14:textId="6781A4B8"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58BA8D0A" w14:textId="2BA3188D" w:rsidR="00F71126" w:rsidRPr="00F71126" w:rsidRDefault="00F71126" w:rsidP="0075408F">
      <w:pPr>
        <w:pStyle w:val="ListParagraph"/>
        <w:numPr>
          <w:ilvl w:val="0"/>
          <w:numId w:val="12"/>
        </w:numPr>
        <w:spacing w:after="0" w:line="240" w:lineRule="auto"/>
        <w:ind w:left="284" w:right="-87" w:hanging="284"/>
        <w:rPr>
          <w:rFonts w:ascii="Arial" w:hAnsi="Arial" w:cs="Arial"/>
          <w:color w:val="000000" w:themeColor="text1"/>
          <w:sz w:val="22"/>
          <w:szCs w:val="22"/>
        </w:rPr>
      </w:pPr>
      <w:r w:rsidRPr="00462893">
        <w:rPr>
          <w:rFonts w:ascii="Arial" w:hAnsi="Arial" w:cs="Arial"/>
          <w:color w:val="000000" w:themeColor="text1"/>
          <w:sz w:val="22"/>
          <w:szCs w:val="22"/>
        </w:rPr>
        <w:t xml:space="preserve">Customer vulnerability and expectations for providers - </w:t>
      </w:r>
      <w:hyperlink r:id="rId11" w:history="1">
        <w:proofErr w:type="spellStart"/>
        <w:r w:rsidRPr="00F71126">
          <w:rPr>
            <w:rStyle w:val="Hyperlink"/>
            <w:rFonts w:ascii="Arial" w:hAnsi="Arial" w:cs="Arial"/>
            <w:sz w:val="22"/>
            <w:szCs w:val="22"/>
          </w:rPr>
          <w:t>CustomerVulnerability</w:t>
        </w:r>
        <w:proofErr w:type="spellEnd"/>
        <w:r w:rsidRPr="00F71126">
          <w:rPr>
            <w:rStyle w:val="Hyperlink"/>
            <w:rFonts w:ascii="Arial" w:hAnsi="Arial" w:cs="Arial"/>
            <w:sz w:val="22"/>
            <w:szCs w:val="22"/>
          </w:rPr>
          <w:t>-</w:t>
        </w:r>
        <w:r w:rsidR="0075408F">
          <w:rPr>
            <w:rStyle w:val="Hyperlink"/>
            <w:rFonts w:ascii="Arial" w:hAnsi="Arial" w:cs="Arial"/>
            <w:sz w:val="22"/>
            <w:szCs w:val="22"/>
          </w:rPr>
          <w:t xml:space="preserve"> </w:t>
        </w:r>
        <w:r w:rsidRPr="00F71126">
          <w:rPr>
            <w:rStyle w:val="Hyperlink"/>
            <w:rFonts w:ascii="Arial" w:hAnsi="Arial" w:cs="Arial"/>
            <w:sz w:val="22"/>
            <w:szCs w:val="22"/>
          </w:rPr>
          <w:t>ourexpectationsforproviders.pdf (fma.govt.nz)</w:t>
        </w:r>
      </w:hyperlink>
    </w:p>
    <w:p w14:paraId="35783AF8" w14:textId="77777777" w:rsidR="00064E22" w:rsidRPr="00160492" w:rsidRDefault="00064E22" w:rsidP="0075408F">
      <w:pPr>
        <w:pStyle w:val="NormalWeb"/>
        <w:numPr>
          <w:ilvl w:val="0"/>
          <w:numId w:val="3"/>
        </w:numPr>
        <w:spacing w:before="0" w:beforeAutospacing="0" w:after="0" w:afterAutospacing="0"/>
        <w:ind w:left="284" w:hanging="284"/>
        <w:rPr>
          <w:rStyle w:val="Hyperlink"/>
          <w:rFonts w:ascii="Arial" w:hAnsi="Arial" w:cs="Arial"/>
          <w:color w:val="000000"/>
          <w:sz w:val="22"/>
          <w:szCs w:val="22"/>
          <w:u w:val="none"/>
        </w:rPr>
      </w:pPr>
      <w:hyperlink r:id="rId12" w:history="1">
        <w:r w:rsidRPr="00EB77AF">
          <w:rPr>
            <w:rStyle w:val="Hyperlink"/>
            <w:rFonts w:ascii="Arial" w:hAnsi="Arial" w:cs="Arial"/>
            <w:sz w:val="22"/>
            <w:szCs w:val="22"/>
          </w:rPr>
          <w:t>Code of Professional Conduct for Financial Advice Services</w:t>
        </w:r>
      </w:hyperlink>
    </w:p>
    <w:p w14:paraId="11B9B4AA" w14:textId="75C68C47" w:rsidR="00160492" w:rsidRDefault="00160492" w:rsidP="0075408F">
      <w:pPr>
        <w:pStyle w:val="ListParagraph"/>
        <w:numPr>
          <w:ilvl w:val="0"/>
          <w:numId w:val="3"/>
        </w:numPr>
        <w:tabs>
          <w:tab w:val="left" w:pos="567"/>
        </w:tabs>
        <w:spacing w:after="0" w:line="240" w:lineRule="auto"/>
        <w:ind w:left="284" w:hanging="284"/>
        <w:rPr>
          <w:rFonts w:ascii="Arial" w:hAnsi="Arial" w:cs="Arial"/>
          <w:color w:val="000000" w:themeColor="text1"/>
          <w:sz w:val="22"/>
          <w:szCs w:val="22"/>
        </w:rPr>
      </w:pPr>
      <w:r w:rsidRPr="00160492">
        <w:rPr>
          <w:rFonts w:ascii="Arial" w:hAnsi="Arial" w:cs="Arial"/>
          <w:color w:val="000000" w:themeColor="text1"/>
          <w:sz w:val="22"/>
          <w:szCs w:val="22"/>
        </w:rPr>
        <w:t>Fair Trading Act 1986</w:t>
      </w:r>
    </w:p>
    <w:p w14:paraId="089C7D25" w14:textId="77777777" w:rsidR="0075408F" w:rsidRPr="0066760C" w:rsidRDefault="0075408F" w:rsidP="0075408F">
      <w:pPr>
        <w:pStyle w:val="NormalWeb"/>
        <w:numPr>
          <w:ilvl w:val="0"/>
          <w:numId w:val="3"/>
        </w:numPr>
        <w:spacing w:before="0" w:beforeAutospacing="0" w:after="0" w:afterAutospacing="0"/>
        <w:ind w:left="284" w:hanging="284"/>
        <w:rPr>
          <w:rStyle w:val="Hyperlink"/>
          <w:rFonts w:ascii="Arial" w:hAnsi="Arial" w:cs="Arial"/>
          <w:kern w:val="28"/>
          <w:sz w:val="22"/>
          <w:szCs w:val="22"/>
          <w14:ligatures w14:val="standard"/>
          <w14:cntxtAlts/>
        </w:rPr>
      </w:pPr>
      <w:hyperlink r:id="rId13" w:history="1">
        <w:r w:rsidRPr="00377608">
          <w:rPr>
            <w:rStyle w:val="Hyperlink"/>
            <w:rFonts w:ascii="Arial" w:hAnsi="Arial" w:cs="Arial"/>
            <w:kern w:val="28"/>
            <w:sz w:val="22"/>
            <w:szCs w:val="22"/>
            <w14:ligatures w14:val="standard"/>
            <w14:cntxtAlts/>
          </w:rPr>
          <w:t xml:space="preserve">Financial Markets Authority - Developing cyber resilience for financial advice providers </w:t>
        </w:r>
        <w:r w:rsidRPr="0066760C">
          <w:rPr>
            <w:rStyle w:val="Hyperlink"/>
            <w:rFonts w:ascii="Arial" w:hAnsi="Arial" w:cs="Arial"/>
            <w:kern w:val="28"/>
            <w:sz w:val="22"/>
            <w:szCs w:val="22"/>
            <w14:ligatures w14:val="standard"/>
            <w14:cntxtAlts/>
          </w:rPr>
          <w:t>(July 2024)</w:t>
        </w:r>
      </w:hyperlink>
    </w:p>
    <w:p w14:paraId="457B48A0" w14:textId="77777777" w:rsidR="00630C93" w:rsidRPr="00630C93" w:rsidRDefault="00630C93" w:rsidP="0075408F">
      <w:pPr>
        <w:pStyle w:val="ListParagraph"/>
        <w:numPr>
          <w:ilvl w:val="0"/>
          <w:numId w:val="3"/>
        </w:numPr>
        <w:spacing w:after="0" w:line="240" w:lineRule="auto"/>
        <w:ind w:left="284" w:hanging="284"/>
        <w:rPr>
          <w:rFonts w:ascii="Arial" w:hAnsi="Arial" w:cs="Arial"/>
          <w:color w:val="000000" w:themeColor="text1"/>
          <w:sz w:val="22"/>
          <w:szCs w:val="22"/>
        </w:rPr>
      </w:pPr>
      <w:r w:rsidRPr="00630C93">
        <w:rPr>
          <w:rFonts w:ascii="Arial" w:hAnsi="Arial" w:cs="Arial"/>
          <w:color w:val="000000" w:themeColor="text1"/>
          <w:sz w:val="22"/>
          <w:szCs w:val="22"/>
        </w:rPr>
        <w:t xml:space="preserve">Financial Markets Authority- </w:t>
      </w:r>
      <w:hyperlink r:id="rId14" w:history="1">
        <w:r w:rsidRPr="009D5799">
          <w:rPr>
            <w:rStyle w:val="Hyperlink"/>
            <w:rFonts w:ascii="Arial" w:hAnsi="Arial" w:cs="Arial"/>
            <w:sz w:val="22"/>
            <w:szCs w:val="22"/>
          </w:rPr>
          <w:t>Understanding Artificial Intelligence in Financial Services (July 2024)</w:t>
        </w:r>
      </w:hyperlink>
      <w:r w:rsidRPr="009D5799">
        <w:rPr>
          <w:rFonts w:ascii="Arial" w:hAnsi="Arial" w:cs="Arial"/>
          <w:color w:val="000000" w:themeColor="text1"/>
          <w:sz w:val="22"/>
          <w:szCs w:val="22"/>
        </w:rPr>
        <w:t xml:space="preserve"> </w:t>
      </w:r>
      <w:r w:rsidRPr="00630C93">
        <w:rPr>
          <w:rFonts w:ascii="Arial" w:hAnsi="Arial" w:cs="Arial"/>
          <w:color w:val="000000" w:themeColor="text1"/>
          <w:sz w:val="22"/>
          <w:szCs w:val="22"/>
        </w:rPr>
        <w:t xml:space="preserve">by Mikayla </w:t>
      </w:r>
      <w:proofErr w:type="spellStart"/>
      <w:r w:rsidRPr="00630C93">
        <w:rPr>
          <w:rFonts w:ascii="Arial" w:hAnsi="Arial" w:cs="Arial"/>
          <w:color w:val="000000" w:themeColor="text1"/>
          <w:sz w:val="22"/>
          <w:szCs w:val="22"/>
        </w:rPr>
        <w:t>Pakinga</w:t>
      </w:r>
      <w:proofErr w:type="spellEnd"/>
      <w:r w:rsidRPr="00630C93">
        <w:rPr>
          <w:rFonts w:ascii="Arial" w:hAnsi="Arial" w:cs="Arial"/>
          <w:color w:val="000000" w:themeColor="text1"/>
          <w:sz w:val="22"/>
          <w:szCs w:val="22"/>
        </w:rPr>
        <w:t xml:space="preserve">-Lawson, Amie White, Stuart Johnson  </w:t>
      </w:r>
    </w:p>
    <w:p w14:paraId="1C5496C8" w14:textId="5D007EA5" w:rsidR="00160492" w:rsidRDefault="00160492"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sidRPr="00160492">
        <w:rPr>
          <w:rFonts w:ascii="Arial" w:hAnsi="Arial" w:cs="Arial"/>
          <w:color w:val="000000" w:themeColor="text1"/>
          <w:sz w:val="22"/>
          <w:szCs w:val="22"/>
        </w:rPr>
        <w:t>Financial Markets Conduct Act 2013</w:t>
      </w:r>
    </w:p>
    <w:p w14:paraId="575F4703" w14:textId="2A9A1237" w:rsidR="00686FFE" w:rsidRPr="00160492" w:rsidRDefault="00686FFE"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Financial Markets Conduct Regulations 2014 </w:t>
      </w:r>
    </w:p>
    <w:p w14:paraId="6B927CE4" w14:textId="06AC4C6F" w:rsidR="00160492" w:rsidRDefault="00160492"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sidRPr="00160492">
        <w:rPr>
          <w:rFonts w:ascii="Arial" w:hAnsi="Arial" w:cs="Arial"/>
          <w:color w:val="000000" w:themeColor="text1"/>
          <w:sz w:val="22"/>
          <w:szCs w:val="22"/>
        </w:rPr>
        <w:t>Income Tax Act 2007</w:t>
      </w:r>
    </w:p>
    <w:p w14:paraId="586063C2" w14:textId="77777777" w:rsidR="00A04B0E" w:rsidRPr="00681C4C" w:rsidRDefault="00A04B0E" w:rsidP="0075408F">
      <w:pPr>
        <w:pStyle w:val="ListParagraph"/>
        <w:numPr>
          <w:ilvl w:val="0"/>
          <w:numId w:val="3"/>
        </w:numPr>
        <w:tabs>
          <w:tab w:val="left" w:pos="2805"/>
        </w:tabs>
        <w:spacing w:after="0" w:line="240" w:lineRule="auto"/>
        <w:ind w:left="284" w:hanging="284"/>
        <w:rPr>
          <w:rFonts w:ascii="Arial" w:hAnsi="Arial" w:cs="Arial"/>
          <w:color w:val="000000" w:themeColor="text1"/>
          <w:sz w:val="22"/>
          <w:szCs w:val="22"/>
        </w:rPr>
      </w:pPr>
      <w:r w:rsidRPr="00681C4C">
        <w:rPr>
          <w:rFonts w:ascii="Arial" w:eastAsiaTheme="minorEastAsia" w:hAnsi="Arial" w:cs="Arial"/>
          <w:spacing w:val="-5"/>
          <w:kern w:val="24"/>
          <w:sz w:val="21"/>
          <w:szCs w:val="21"/>
          <w:lang w:eastAsia="en-US"/>
        </w:rPr>
        <w:t xml:space="preserve">ISO 22222:2005 Personal Financial Planning – Requirements for personal financial planners, available from </w:t>
      </w:r>
      <w:hyperlink r:id="rId15" w:history="1">
        <w:r w:rsidRPr="00681C4C">
          <w:rPr>
            <w:rStyle w:val="Hyperlink"/>
            <w:rFonts w:ascii="Arial" w:eastAsiaTheme="minorEastAsia" w:hAnsi="Arial" w:cs="Arial"/>
            <w:spacing w:val="-5"/>
            <w:kern w:val="24"/>
            <w:sz w:val="21"/>
            <w:szCs w:val="21"/>
            <w:lang w:eastAsia="en-US"/>
          </w:rPr>
          <w:t>https://www.iso.org</w:t>
        </w:r>
      </w:hyperlink>
      <w:r w:rsidRPr="00681C4C">
        <w:rPr>
          <w:rFonts w:ascii="Arial" w:eastAsiaTheme="minorEastAsia" w:hAnsi="Arial" w:cs="Arial"/>
          <w:spacing w:val="-5"/>
          <w:kern w:val="24"/>
          <w:sz w:val="21"/>
          <w:szCs w:val="21"/>
          <w:lang w:eastAsia="en-US"/>
        </w:rPr>
        <w:t xml:space="preserve">  </w:t>
      </w:r>
    </w:p>
    <w:p w14:paraId="6DCE20D9" w14:textId="53DAA9AE" w:rsidR="00160492" w:rsidRPr="00160492" w:rsidRDefault="00160492"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sidRPr="00160492">
        <w:rPr>
          <w:rFonts w:ascii="Arial" w:hAnsi="Arial" w:cs="Arial"/>
          <w:color w:val="000000" w:themeColor="text1"/>
          <w:sz w:val="22"/>
          <w:szCs w:val="22"/>
        </w:rPr>
        <w:t>KiwiSaver Act 2006</w:t>
      </w:r>
    </w:p>
    <w:p w14:paraId="0F767CED" w14:textId="77777777" w:rsidR="001668AE" w:rsidRPr="001668AE" w:rsidRDefault="001668AE"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sidRPr="001668AE">
        <w:rPr>
          <w:rFonts w:ascii="Arial" w:hAnsi="Arial" w:cs="Arial"/>
          <w:color w:val="000000" w:themeColor="text1"/>
          <w:sz w:val="22"/>
          <w:szCs w:val="22"/>
        </w:rPr>
        <w:t>Privacy Act 2020</w:t>
      </w:r>
    </w:p>
    <w:p w14:paraId="4FA35242" w14:textId="7F176686" w:rsidR="001668AE" w:rsidRDefault="001668AE" w:rsidP="0075408F">
      <w:pPr>
        <w:pStyle w:val="ListParagraph"/>
        <w:numPr>
          <w:ilvl w:val="0"/>
          <w:numId w:val="3"/>
        </w:numPr>
        <w:tabs>
          <w:tab w:val="left" w:pos="567"/>
        </w:tabs>
        <w:spacing w:line="240" w:lineRule="auto"/>
        <w:ind w:left="284" w:hanging="284"/>
        <w:rPr>
          <w:rFonts w:ascii="Arial" w:hAnsi="Arial" w:cs="Arial"/>
          <w:color w:val="000000" w:themeColor="text1"/>
          <w:sz w:val="22"/>
          <w:szCs w:val="22"/>
        </w:rPr>
      </w:pPr>
      <w:r w:rsidRPr="001668AE">
        <w:rPr>
          <w:rFonts w:ascii="Arial" w:hAnsi="Arial" w:cs="Arial"/>
          <w:color w:val="000000" w:themeColor="text1"/>
          <w:sz w:val="22"/>
          <w:szCs w:val="22"/>
        </w:rPr>
        <w:t>Relevant industry codes of conduct</w:t>
      </w:r>
    </w:p>
    <w:p w14:paraId="57FB9252" w14:textId="77777777" w:rsidR="004D793D" w:rsidRDefault="0083378E" w:rsidP="0075408F">
      <w:pPr>
        <w:pStyle w:val="ListParagraph"/>
        <w:numPr>
          <w:ilvl w:val="0"/>
          <w:numId w:val="3"/>
        </w:numPr>
        <w:spacing w:line="240" w:lineRule="auto"/>
        <w:ind w:left="284" w:hanging="284"/>
        <w:rPr>
          <w:rFonts w:ascii="Arial" w:hAnsi="Arial" w:cs="Arial"/>
          <w:color w:val="000000" w:themeColor="text1"/>
          <w:sz w:val="22"/>
          <w:szCs w:val="22"/>
        </w:rPr>
      </w:pPr>
      <w:r w:rsidRPr="004D793D">
        <w:rPr>
          <w:rFonts w:ascii="Arial" w:hAnsi="Arial" w:cs="Arial"/>
          <w:color w:val="000000" w:themeColor="text1"/>
          <w:sz w:val="22"/>
          <w:szCs w:val="22"/>
        </w:rPr>
        <w:t>Trusts Act 2019</w:t>
      </w:r>
      <w:r w:rsidR="004D793D" w:rsidRPr="004D793D">
        <w:rPr>
          <w:rFonts w:ascii="Arial" w:hAnsi="Arial" w:cs="Arial"/>
          <w:color w:val="000000" w:themeColor="text1"/>
          <w:sz w:val="22"/>
          <w:szCs w:val="22"/>
        </w:rPr>
        <w:t xml:space="preserve">; </w:t>
      </w:r>
    </w:p>
    <w:p w14:paraId="70AB9B09" w14:textId="7683C054" w:rsidR="004D793D" w:rsidRPr="004D793D" w:rsidRDefault="004D793D" w:rsidP="0075408F">
      <w:pPr>
        <w:pStyle w:val="ListParagraph"/>
        <w:spacing w:line="240" w:lineRule="auto"/>
        <w:ind w:left="284" w:hanging="284"/>
      </w:pPr>
      <w:r w:rsidRPr="004D793D">
        <w:rPr>
          <w:rFonts w:ascii="Arial" w:hAnsi="Arial" w:cs="Arial"/>
          <w:color w:val="000000" w:themeColor="text1"/>
          <w:sz w:val="22"/>
          <w:szCs w:val="22"/>
        </w:rPr>
        <w:t xml:space="preserve"> </w:t>
      </w:r>
      <w:r w:rsidR="0075408F">
        <w:rPr>
          <w:rFonts w:ascii="Arial" w:hAnsi="Arial" w:cs="Arial"/>
          <w:color w:val="000000" w:themeColor="text1"/>
          <w:sz w:val="22"/>
          <w:szCs w:val="22"/>
        </w:rPr>
        <w:t xml:space="preserve">    </w:t>
      </w:r>
      <w:r w:rsidRPr="004D793D">
        <w:rPr>
          <w:rFonts w:ascii="Arial" w:hAnsi="Arial" w:cs="Arial"/>
          <w:color w:val="000000" w:themeColor="text1"/>
          <w:sz w:val="22"/>
          <w:szCs w:val="22"/>
        </w:rPr>
        <w:t xml:space="preserve">and their subsequent amendments or replacements.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362B88" w:rsidRPr="004046BA" w14:paraId="4B4E40C3" w14:textId="77777777" w:rsidTr="00DC70E1">
        <w:trPr>
          <w:cantSplit/>
        </w:trPr>
        <w:tc>
          <w:tcPr>
            <w:tcW w:w="4923" w:type="dxa"/>
            <w:shd w:val="clear" w:color="auto" w:fill="8DCCD2"/>
          </w:tcPr>
          <w:bookmarkEnd w:id="0"/>
          <w:p w14:paraId="0DCBB857" w14:textId="41A6347A" w:rsidR="00362B88" w:rsidRPr="007950E6" w:rsidRDefault="00362B88" w:rsidP="00362B88">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lastRenderedPageBreak/>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 </w:t>
            </w:r>
            <w:r w:rsidRPr="00446346">
              <w:rPr>
                <w:rFonts w:ascii="Arial" w:hAnsi="Arial" w:cs="Arial"/>
                <w:color w:val="000000" w:themeColor="text1"/>
                <w:sz w:val="22"/>
                <w:szCs w:val="22"/>
              </w:rPr>
              <w:t>Standard</w:t>
            </w:r>
            <w:r>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2A6ED5B" w:rsidR="00362B88" w:rsidRPr="002205DA" w:rsidRDefault="00362B88" w:rsidP="00362B88">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362B88" w:rsidRPr="004046BA" w14:paraId="679D94FF" w14:textId="77777777" w:rsidTr="00DC70E1">
        <w:trPr>
          <w:cantSplit/>
        </w:trPr>
        <w:tc>
          <w:tcPr>
            <w:tcW w:w="4923" w:type="dxa"/>
            <w:shd w:val="clear" w:color="auto" w:fill="8DCCD2"/>
          </w:tcPr>
          <w:p w14:paraId="14176377" w14:textId="7A678D22" w:rsidR="00362B88" w:rsidRPr="007950E6" w:rsidRDefault="00362B88" w:rsidP="00362B88">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56FA6D54" w:rsidR="00362B88" w:rsidRPr="004046BA" w:rsidRDefault="00362B88" w:rsidP="00362B88">
            <w:pPr>
              <w:spacing w:line="240" w:lineRule="auto"/>
              <w:rPr>
                <w:rFonts w:ascii="Arial" w:hAnsi="Arial" w:cs="Arial"/>
                <w:sz w:val="22"/>
                <w:szCs w:val="22"/>
              </w:rPr>
            </w:pPr>
            <w:r>
              <w:rPr>
                <w:rFonts w:ascii="Arial" w:hAnsi="Arial" w:cs="Arial"/>
                <w:sz w:val="22"/>
                <w:szCs w:val="22"/>
              </w:rPr>
              <w:t xml:space="preserve">Service Sector&gt; Financial Services&gt; Professional Practice </w:t>
            </w:r>
          </w:p>
        </w:tc>
      </w:tr>
      <w:tr w:rsidR="00362B88" w:rsidRPr="004046BA" w14:paraId="5169D322" w14:textId="77777777" w:rsidTr="00DC70E1">
        <w:trPr>
          <w:cantSplit/>
        </w:trPr>
        <w:tc>
          <w:tcPr>
            <w:tcW w:w="4923" w:type="dxa"/>
            <w:shd w:val="clear" w:color="auto" w:fill="8DCCD2"/>
          </w:tcPr>
          <w:p w14:paraId="2369F66C" w14:textId="77777777" w:rsidR="00362B88" w:rsidRPr="004046BA" w:rsidRDefault="00362B88" w:rsidP="00362B88">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43133E9" w:rsidR="00362B88" w:rsidRPr="004046BA" w:rsidRDefault="00436996" w:rsidP="00362B88">
            <w:pPr>
              <w:spacing w:line="240" w:lineRule="auto"/>
              <w:rPr>
                <w:rFonts w:ascii="Arial" w:hAnsi="Arial" w:cs="Arial"/>
                <w:sz w:val="22"/>
                <w:szCs w:val="22"/>
              </w:rPr>
            </w:pPr>
            <w:r>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88F971F" w:rsidR="00D70473" w:rsidRPr="004046BA" w:rsidRDefault="00436996"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13C4D24D" w:rsidR="00D70473" w:rsidRPr="004046BA" w:rsidRDefault="00436996" w:rsidP="00DC70E1">
            <w:pPr>
              <w:spacing w:line="240" w:lineRule="auto"/>
              <w:rPr>
                <w:rFonts w:ascii="Arial" w:hAnsi="Arial" w:cs="Arial"/>
                <w:sz w:val="22"/>
                <w:szCs w:val="22"/>
              </w:rPr>
            </w:pPr>
            <w:r>
              <w:rPr>
                <w:rFonts w:ascii="Arial" w:hAnsi="Arial" w:cs="Arial"/>
                <w:sz w:val="22"/>
                <w:szCs w:val="22"/>
              </w:rPr>
              <w:t xml:space="preserve">This skill standard replaced unit standard </w:t>
            </w:r>
            <w:r w:rsidR="007103A4">
              <w:rPr>
                <w:rFonts w:ascii="Arial" w:hAnsi="Arial" w:cs="Arial"/>
                <w:sz w:val="22"/>
                <w:szCs w:val="22"/>
              </w:rPr>
              <w:t xml:space="preserve">31862.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19A10A0A" w:rsidR="00D70473" w:rsidRPr="004046BA" w:rsidRDefault="00362B88" w:rsidP="00DC70E1">
            <w:pPr>
              <w:spacing w:line="240" w:lineRule="auto"/>
              <w:rPr>
                <w:rFonts w:ascii="Arial" w:hAnsi="Arial" w:cs="Arial"/>
                <w:sz w:val="22"/>
                <w:szCs w:val="22"/>
              </w:rPr>
            </w:pPr>
            <w:r>
              <w:rPr>
                <w:rFonts w:ascii="Arial" w:hAnsi="Arial" w:cs="Arial"/>
                <w:sz w:val="22"/>
                <w:szCs w:val="22"/>
              </w:rPr>
              <w:t>20</w:t>
            </w:r>
            <w:r w:rsidR="00436996">
              <w:rPr>
                <w:rFonts w:ascii="Arial" w:hAnsi="Arial" w:cs="Arial"/>
                <w:sz w:val="22"/>
                <w:szCs w:val="22"/>
              </w:rPr>
              <w:t xml:space="preserve">30 </w:t>
            </w:r>
          </w:p>
        </w:tc>
      </w:tr>
    </w:tbl>
    <w:p w14:paraId="7AE65EB0" w14:textId="77777777" w:rsidR="00D70473" w:rsidRPr="00624205" w:rsidRDefault="00D70473" w:rsidP="00DC70E1">
      <w:pPr>
        <w:spacing w:line="240" w:lineRule="auto"/>
        <w:rPr>
          <w:rFonts w:ascii="Arial" w:hAnsi="Arial" w:cs="Arial"/>
          <w:sz w:val="22"/>
          <w:szCs w:val="22"/>
        </w:rPr>
      </w:pPr>
    </w:p>
    <w:p w14:paraId="4C28528D" w14:textId="77777777" w:rsidR="000A519D" w:rsidRPr="00C302FE" w:rsidRDefault="00C302FE" w:rsidP="000A519D">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0A519D">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0A519D" w:rsidRPr="00C302FE">
        <w:rPr>
          <w:rFonts w:ascii="Arial" w:eastAsiaTheme="minorHAnsi" w:hAnsi="Arial" w:cs="Arial"/>
          <w:color w:val="auto"/>
          <w:kern w:val="0"/>
          <w:sz w:val="22"/>
          <w:szCs w:val="22"/>
          <w:lang w:eastAsia="en-US"/>
          <w14:ligatures w14:val="none"/>
          <w14:cntxtAlts w14:val="0"/>
        </w:rPr>
        <w:t xml:space="preserve">at </w:t>
      </w:r>
      <w:hyperlink r:id="rId16" w:history="1">
        <w:r w:rsidR="000A519D" w:rsidRPr="00144DB2">
          <w:rPr>
            <w:rStyle w:val="Hyperlink"/>
            <w:rFonts w:ascii="Arial" w:eastAsiaTheme="minorHAnsi" w:hAnsi="Arial" w:cs="Arial"/>
            <w:kern w:val="0"/>
            <w:sz w:val="22"/>
            <w:szCs w:val="22"/>
            <w:lang w:eastAsia="en-US"/>
            <w14:ligatures w14:val="none"/>
            <w14:cntxtAlts w14:val="0"/>
          </w:rPr>
          <w:t>qualifications@ringahora.nz</w:t>
        </w:r>
      </w:hyperlink>
      <w:r w:rsidR="000A519D">
        <w:rPr>
          <w:rFonts w:ascii="Arial" w:eastAsiaTheme="minorHAnsi" w:hAnsi="Arial" w:cs="Arial"/>
          <w:color w:val="auto"/>
          <w:kern w:val="0"/>
          <w:sz w:val="22"/>
          <w:szCs w:val="22"/>
          <w:lang w:eastAsia="en-US"/>
          <w14:ligatures w14:val="none"/>
          <w14:cntxtAlts w14:val="0"/>
        </w:rPr>
        <w:t xml:space="preserve"> </w:t>
      </w:r>
      <w:r w:rsidR="000A519D" w:rsidRPr="00C302FE">
        <w:rPr>
          <w:rFonts w:ascii="Arial" w:eastAsiaTheme="minorHAnsi" w:hAnsi="Arial" w:cs="Arial"/>
          <w:color w:val="auto"/>
          <w:kern w:val="0"/>
          <w:sz w:val="22"/>
          <w:szCs w:val="22"/>
          <w:lang w:eastAsia="en-US"/>
          <w14:ligatures w14:val="none"/>
          <w14:cntxtAlts w14:val="0"/>
        </w:rPr>
        <w:t>to suggest changes to the content of this skill standard.</w:t>
      </w:r>
    </w:p>
    <w:p w14:paraId="20E4A90A" w14:textId="41F3D446"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7"/>
      <w:headerReference w:type="default" r:id="rId18"/>
      <w:footerReference w:type="even" r:id="rId19"/>
      <w:footerReference w:type="default" r:id="rId20"/>
      <w:headerReference w:type="first" r:id="rId21"/>
      <w:footerReference w:type="first" r:id="rId22"/>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B0131" w14:textId="77777777" w:rsidR="00197FE3" w:rsidRDefault="00197FE3" w:rsidP="000E4D2B">
      <w:pPr>
        <w:spacing w:after="0" w:line="240" w:lineRule="auto"/>
      </w:pPr>
      <w:r>
        <w:separator/>
      </w:r>
    </w:p>
  </w:endnote>
  <w:endnote w:type="continuationSeparator" w:id="0">
    <w:p w14:paraId="3171C116" w14:textId="77777777" w:rsidR="00197FE3" w:rsidRDefault="00197FE3" w:rsidP="000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FAC2" w14:textId="77777777" w:rsidR="00977E44" w:rsidRDefault="0097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EB466CC"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505EF">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15FD" w14:textId="77777777" w:rsidR="00977E44" w:rsidRDefault="0097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3B53" w14:textId="77777777" w:rsidR="00197FE3" w:rsidRDefault="00197FE3" w:rsidP="000E4D2B">
      <w:pPr>
        <w:spacing w:after="0" w:line="240" w:lineRule="auto"/>
      </w:pPr>
      <w:r>
        <w:separator/>
      </w:r>
    </w:p>
  </w:footnote>
  <w:footnote w:type="continuationSeparator" w:id="0">
    <w:p w14:paraId="61D9E777" w14:textId="77777777" w:rsidR="00197FE3" w:rsidRDefault="00197FE3" w:rsidP="000E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2E5A" w14:textId="77777777" w:rsidR="00977E44" w:rsidRDefault="0097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49633"/>
      <w:docPartObj>
        <w:docPartGallery w:val="Watermarks"/>
        <w:docPartUnique/>
      </w:docPartObj>
    </w:sdtPr>
    <w:sdtContent>
      <w:p w14:paraId="1F365D34" w14:textId="13A8ACC1" w:rsidR="007066D6" w:rsidRDefault="00000000">
        <w:pPr>
          <w:pStyle w:val="Header"/>
        </w:pPr>
        <w:r>
          <w:rPr>
            <w:noProof/>
          </w:rPr>
          <w:pict w14:anchorId="45123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4314" o:spid="_x0000_s1025" type="#_x0000_t136" style="position:absolute;margin-left:0;margin-top:0;width:541.05pt;height:162.3pt;rotation:315;z-index:-2516587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9599" w14:textId="77777777" w:rsidR="00977E44" w:rsidRDefault="0097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115"/>
    <w:multiLevelType w:val="hybridMultilevel"/>
    <w:tmpl w:val="9DE4C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E440A30"/>
    <w:multiLevelType w:val="hybridMultilevel"/>
    <w:tmpl w:val="FB56C7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A012B4"/>
    <w:multiLevelType w:val="hybridMultilevel"/>
    <w:tmpl w:val="83026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6721DD"/>
    <w:multiLevelType w:val="hybridMultilevel"/>
    <w:tmpl w:val="BA5CD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63231F8"/>
    <w:multiLevelType w:val="hybridMultilevel"/>
    <w:tmpl w:val="8AEE4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F85AE7"/>
    <w:multiLevelType w:val="hybridMultilevel"/>
    <w:tmpl w:val="104441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B190639"/>
    <w:multiLevelType w:val="hybridMultilevel"/>
    <w:tmpl w:val="E5E8B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3D44AD1"/>
    <w:multiLevelType w:val="hybridMultilevel"/>
    <w:tmpl w:val="AADC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ACF254C"/>
    <w:multiLevelType w:val="hybridMultilevel"/>
    <w:tmpl w:val="1486B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FA82DDA"/>
    <w:multiLevelType w:val="hybridMultilevel"/>
    <w:tmpl w:val="8A58C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7946128">
    <w:abstractNumId w:val="2"/>
  </w:num>
  <w:num w:numId="2" w16cid:durableId="829250700">
    <w:abstractNumId w:val="9"/>
  </w:num>
  <w:num w:numId="3" w16cid:durableId="1086147032">
    <w:abstractNumId w:val="1"/>
  </w:num>
  <w:num w:numId="4" w16cid:durableId="1762488120">
    <w:abstractNumId w:val="10"/>
  </w:num>
  <w:num w:numId="5" w16cid:durableId="1363894590">
    <w:abstractNumId w:val="6"/>
  </w:num>
  <w:num w:numId="6" w16cid:durableId="1371951156">
    <w:abstractNumId w:val="5"/>
  </w:num>
  <w:num w:numId="7" w16cid:durableId="1091387781">
    <w:abstractNumId w:val="7"/>
  </w:num>
  <w:num w:numId="8" w16cid:durableId="109276797">
    <w:abstractNumId w:val="0"/>
  </w:num>
  <w:num w:numId="9" w16cid:durableId="910385661">
    <w:abstractNumId w:val="12"/>
  </w:num>
  <w:num w:numId="10" w16cid:durableId="1961837664">
    <w:abstractNumId w:val="8"/>
  </w:num>
  <w:num w:numId="11" w16cid:durableId="1181578544">
    <w:abstractNumId w:val="11"/>
  </w:num>
  <w:num w:numId="12" w16cid:durableId="1193375295">
    <w:abstractNumId w:val="4"/>
  </w:num>
  <w:num w:numId="13" w16cid:durableId="3205499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920"/>
    <w:rsid w:val="00002CE6"/>
    <w:rsid w:val="000038F5"/>
    <w:rsid w:val="000068B9"/>
    <w:rsid w:val="00011D6D"/>
    <w:rsid w:val="00012710"/>
    <w:rsid w:val="00012F02"/>
    <w:rsid w:val="00013E1C"/>
    <w:rsid w:val="000231B5"/>
    <w:rsid w:val="00030C56"/>
    <w:rsid w:val="00033356"/>
    <w:rsid w:val="00044F83"/>
    <w:rsid w:val="00046FFC"/>
    <w:rsid w:val="00051F55"/>
    <w:rsid w:val="000524EB"/>
    <w:rsid w:val="00064DB1"/>
    <w:rsid w:val="00064E22"/>
    <w:rsid w:val="00070812"/>
    <w:rsid w:val="00085BF7"/>
    <w:rsid w:val="0008628A"/>
    <w:rsid w:val="000904D1"/>
    <w:rsid w:val="000920E3"/>
    <w:rsid w:val="000932F5"/>
    <w:rsid w:val="000938E8"/>
    <w:rsid w:val="000941C7"/>
    <w:rsid w:val="000967CE"/>
    <w:rsid w:val="000A01B4"/>
    <w:rsid w:val="000A519D"/>
    <w:rsid w:val="000A5CBF"/>
    <w:rsid w:val="000A6EE3"/>
    <w:rsid w:val="000A755F"/>
    <w:rsid w:val="000B2B46"/>
    <w:rsid w:val="000B4BE1"/>
    <w:rsid w:val="000C07EB"/>
    <w:rsid w:val="000C7321"/>
    <w:rsid w:val="000D1A7E"/>
    <w:rsid w:val="000D6B49"/>
    <w:rsid w:val="000D7AF5"/>
    <w:rsid w:val="000E155A"/>
    <w:rsid w:val="000E4D2B"/>
    <w:rsid w:val="000E5A36"/>
    <w:rsid w:val="000E613D"/>
    <w:rsid w:val="00101F1B"/>
    <w:rsid w:val="00102389"/>
    <w:rsid w:val="001061EF"/>
    <w:rsid w:val="00110689"/>
    <w:rsid w:val="00115C72"/>
    <w:rsid w:val="00122CFB"/>
    <w:rsid w:val="001275E7"/>
    <w:rsid w:val="00133EE5"/>
    <w:rsid w:val="001400AF"/>
    <w:rsid w:val="00142569"/>
    <w:rsid w:val="00143C2A"/>
    <w:rsid w:val="001516A8"/>
    <w:rsid w:val="0015191A"/>
    <w:rsid w:val="00153C40"/>
    <w:rsid w:val="00160492"/>
    <w:rsid w:val="00160821"/>
    <w:rsid w:val="00160F88"/>
    <w:rsid w:val="001668AE"/>
    <w:rsid w:val="001709E9"/>
    <w:rsid w:val="00170D99"/>
    <w:rsid w:val="001759D8"/>
    <w:rsid w:val="00180BE0"/>
    <w:rsid w:val="00194AA5"/>
    <w:rsid w:val="00197FE3"/>
    <w:rsid w:val="001A1A7D"/>
    <w:rsid w:val="001B0110"/>
    <w:rsid w:val="001B3787"/>
    <w:rsid w:val="001B3C76"/>
    <w:rsid w:val="001B414E"/>
    <w:rsid w:val="001C0074"/>
    <w:rsid w:val="001C547E"/>
    <w:rsid w:val="001C5D6E"/>
    <w:rsid w:val="001C6F71"/>
    <w:rsid w:val="001D2995"/>
    <w:rsid w:val="001D66E8"/>
    <w:rsid w:val="001F7F21"/>
    <w:rsid w:val="00205924"/>
    <w:rsid w:val="0020717C"/>
    <w:rsid w:val="002153A4"/>
    <w:rsid w:val="00217970"/>
    <w:rsid w:val="002205DA"/>
    <w:rsid w:val="00220EAF"/>
    <w:rsid w:val="00221BD7"/>
    <w:rsid w:val="00221CF9"/>
    <w:rsid w:val="00221E10"/>
    <w:rsid w:val="00222548"/>
    <w:rsid w:val="0022587B"/>
    <w:rsid w:val="00227EF9"/>
    <w:rsid w:val="00231619"/>
    <w:rsid w:val="00232403"/>
    <w:rsid w:val="00232687"/>
    <w:rsid w:val="00233581"/>
    <w:rsid w:val="0023566E"/>
    <w:rsid w:val="002410A6"/>
    <w:rsid w:val="00246866"/>
    <w:rsid w:val="0025519D"/>
    <w:rsid w:val="00255C11"/>
    <w:rsid w:val="00255F06"/>
    <w:rsid w:val="00256F75"/>
    <w:rsid w:val="002579E2"/>
    <w:rsid w:val="002636A4"/>
    <w:rsid w:val="00264A84"/>
    <w:rsid w:val="0026513F"/>
    <w:rsid w:val="00276119"/>
    <w:rsid w:val="00287A7C"/>
    <w:rsid w:val="00290496"/>
    <w:rsid w:val="002A755F"/>
    <w:rsid w:val="002A7E06"/>
    <w:rsid w:val="002B0978"/>
    <w:rsid w:val="002B4620"/>
    <w:rsid w:val="002B5C4C"/>
    <w:rsid w:val="002B7B23"/>
    <w:rsid w:val="002C3D0F"/>
    <w:rsid w:val="002D240C"/>
    <w:rsid w:val="002E2DC9"/>
    <w:rsid w:val="002E5BE6"/>
    <w:rsid w:val="002E69B1"/>
    <w:rsid w:val="002F5920"/>
    <w:rsid w:val="00300AF7"/>
    <w:rsid w:val="003038B4"/>
    <w:rsid w:val="00303975"/>
    <w:rsid w:val="00303B4E"/>
    <w:rsid w:val="00312E54"/>
    <w:rsid w:val="00316436"/>
    <w:rsid w:val="00320B91"/>
    <w:rsid w:val="00321D97"/>
    <w:rsid w:val="00337D19"/>
    <w:rsid w:val="00340A13"/>
    <w:rsid w:val="00341B19"/>
    <w:rsid w:val="00342E93"/>
    <w:rsid w:val="0034342A"/>
    <w:rsid w:val="00345944"/>
    <w:rsid w:val="0035541A"/>
    <w:rsid w:val="00357553"/>
    <w:rsid w:val="00362B88"/>
    <w:rsid w:val="0037343F"/>
    <w:rsid w:val="0038035D"/>
    <w:rsid w:val="003852B0"/>
    <w:rsid w:val="003A2C75"/>
    <w:rsid w:val="003A43D4"/>
    <w:rsid w:val="003B0B83"/>
    <w:rsid w:val="003B150D"/>
    <w:rsid w:val="003B2789"/>
    <w:rsid w:val="003B3694"/>
    <w:rsid w:val="003B3FEE"/>
    <w:rsid w:val="003B7D18"/>
    <w:rsid w:val="003C4076"/>
    <w:rsid w:val="003C4AF8"/>
    <w:rsid w:val="003D20AB"/>
    <w:rsid w:val="003D37BE"/>
    <w:rsid w:val="003D4628"/>
    <w:rsid w:val="003D582D"/>
    <w:rsid w:val="003D6E76"/>
    <w:rsid w:val="003E28BA"/>
    <w:rsid w:val="003E42B4"/>
    <w:rsid w:val="003E476F"/>
    <w:rsid w:val="003E5AED"/>
    <w:rsid w:val="003F117B"/>
    <w:rsid w:val="004046BA"/>
    <w:rsid w:val="0041699A"/>
    <w:rsid w:val="004169A7"/>
    <w:rsid w:val="0042401C"/>
    <w:rsid w:val="00425202"/>
    <w:rsid w:val="00430D19"/>
    <w:rsid w:val="004358AA"/>
    <w:rsid w:val="00436459"/>
    <w:rsid w:val="00436996"/>
    <w:rsid w:val="004413AC"/>
    <w:rsid w:val="00441A93"/>
    <w:rsid w:val="00444B4E"/>
    <w:rsid w:val="00453343"/>
    <w:rsid w:val="0046095D"/>
    <w:rsid w:val="004609D1"/>
    <w:rsid w:val="00462893"/>
    <w:rsid w:val="0046566B"/>
    <w:rsid w:val="00465E41"/>
    <w:rsid w:val="0047783F"/>
    <w:rsid w:val="00480EBE"/>
    <w:rsid w:val="0048579C"/>
    <w:rsid w:val="004926CC"/>
    <w:rsid w:val="004B21AB"/>
    <w:rsid w:val="004B4414"/>
    <w:rsid w:val="004B6694"/>
    <w:rsid w:val="004C10F7"/>
    <w:rsid w:val="004C3B66"/>
    <w:rsid w:val="004D3A19"/>
    <w:rsid w:val="004D6E14"/>
    <w:rsid w:val="004D793D"/>
    <w:rsid w:val="004E16AA"/>
    <w:rsid w:val="004E4ACB"/>
    <w:rsid w:val="004E69A1"/>
    <w:rsid w:val="004F689C"/>
    <w:rsid w:val="0050278E"/>
    <w:rsid w:val="00504F78"/>
    <w:rsid w:val="005121CA"/>
    <w:rsid w:val="00522345"/>
    <w:rsid w:val="00522A75"/>
    <w:rsid w:val="00524589"/>
    <w:rsid w:val="005269D3"/>
    <w:rsid w:val="00527CBD"/>
    <w:rsid w:val="00533A6C"/>
    <w:rsid w:val="0053541A"/>
    <w:rsid w:val="0053752C"/>
    <w:rsid w:val="0054485C"/>
    <w:rsid w:val="005502B0"/>
    <w:rsid w:val="00553C1E"/>
    <w:rsid w:val="0055415D"/>
    <w:rsid w:val="00554D79"/>
    <w:rsid w:val="00560A68"/>
    <w:rsid w:val="00565906"/>
    <w:rsid w:val="00565952"/>
    <w:rsid w:val="00570160"/>
    <w:rsid w:val="005805F7"/>
    <w:rsid w:val="00581EA9"/>
    <w:rsid w:val="00582B78"/>
    <w:rsid w:val="00585FCE"/>
    <w:rsid w:val="00590421"/>
    <w:rsid w:val="00591B22"/>
    <w:rsid w:val="00594F08"/>
    <w:rsid w:val="005B4205"/>
    <w:rsid w:val="005B46D0"/>
    <w:rsid w:val="005C3783"/>
    <w:rsid w:val="005C4F27"/>
    <w:rsid w:val="005D097C"/>
    <w:rsid w:val="005E73F3"/>
    <w:rsid w:val="005F09F0"/>
    <w:rsid w:val="005F33C2"/>
    <w:rsid w:val="006001FF"/>
    <w:rsid w:val="00603710"/>
    <w:rsid w:val="00607FD5"/>
    <w:rsid w:val="00610626"/>
    <w:rsid w:val="00611A61"/>
    <w:rsid w:val="006221B9"/>
    <w:rsid w:val="00623D26"/>
    <w:rsid w:val="00624205"/>
    <w:rsid w:val="00630C93"/>
    <w:rsid w:val="00637579"/>
    <w:rsid w:val="00642A71"/>
    <w:rsid w:val="00657885"/>
    <w:rsid w:val="00660048"/>
    <w:rsid w:val="00663935"/>
    <w:rsid w:val="00664DAB"/>
    <w:rsid w:val="00667EF5"/>
    <w:rsid w:val="00671662"/>
    <w:rsid w:val="0067411A"/>
    <w:rsid w:val="00676A27"/>
    <w:rsid w:val="006775EA"/>
    <w:rsid w:val="00677EAA"/>
    <w:rsid w:val="0068149C"/>
    <w:rsid w:val="00683AB8"/>
    <w:rsid w:val="00683B96"/>
    <w:rsid w:val="006858E2"/>
    <w:rsid w:val="00686FFE"/>
    <w:rsid w:val="006900FA"/>
    <w:rsid w:val="006904C4"/>
    <w:rsid w:val="00695713"/>
    <w:rsid w:val="006A2859"/>
    <w:rsid w:val="006A5691"/>
    <w:rsid w:val="006B05FC"/>
    <w:rsid w:val="006B0903"/>
    <w:rsid w:val="006B4570"/>
    <w:rsid w:val="006B702E"/>
    <w:rsid w:val="006C06E7"/>
    <w:rsid w:val="006C4473"/>
    <w:rsid w:val="006C4B67"/>
    <w:rsid w:val="006D0CF2"/>
    <w:rsid w:val="006D27B8"/>
    <w:rsid w:val="006D3A19"/>
    <w:rsid w:val="006D637C"/>
    <w:rsid w:val="006E3E6F"/>
    <w:rsid w:val="006F1206"/>
    <w:rsid w:val="006F2D89"/>
    <w:rsid w:val="006F75D9"/>
    <w:rsid w:val="006F7960"/>
    <w:rsid w:val="007066D6"/>
    <w:rsid w:val="007103A4"/>
    <w:rsid w:val="00715F97"/>
    <w:rsid w:val="00721CCA"/>
    <w:rsid w:val="00724AE1"/>
    <w:rsid w:val="00731529"/>
    <w:rsid w:val="007352E8"/>
    <w:rsid w:val="00740A64"/>
    <w:rsid w:val="00742373"/>
    <w:rsid w:val="00742982"/>
    <w:rsid w:val="00743153"/>
    <w:rsid w:val="00745727"/>
    <w:rsid w:val="00751E4E"/>
    <w:rsid w:val="0075408F"/>
    <w:rsid w:val="0076458C"/>
    <w:rsid w:val="0077053D"/>
    <w:rsid w:val="00771E54"/>
    <w:rsid w:val="00774093"/>
    <w:rsid w:val="0078051D"/>
    <w:rsid w:val="007809EA"/>
    <w:rsid w:val="00790F77"/>
    <w:rsid w:val="007949D6"/>
    <w:rsid w:val="00795529"/>
    <w:rsid w:val="007955DF"/>
    <w:rsid w:val="00795A66"/>
    <w:rsid w:val="007A01A7"/>
    <w:rsid w:val="007A2B4F"/>
    <w:rsid w:val="007A4A26"/>
    <w:rsid w:val="007B3701"/>
    <w:rsid w:val="007D1851"/>
    <w:rsid w:val="007D1F85"/>
    <w:rsid w:val="007D3BA8"/>
    <w:rsid w:val="007D4A73"/>
    <w:rsid w:val="007E19FF"/>
    <w:rsid w:val="007E3AAB"/>
    <w:rsid w:val="007F061B"/>
    <w:rsid w:val="007F10EE"/>
    <w:rsid w:val="007F3CC5"/>
    <w:rsid w:val="0080178F"/>
    <w:rsid w:val="0080200B"/>
    <w:rsid w:val="0080585F"/>
    <w:rsid w:val="00807460"/>
    <w:rsid w:val="00811A25"/>
    <w:rsid w:val="00815C95"/>
    <w:rsid w:val="00831880"/>
    <w:rsid w:val="0083378E"/>
    <w:rsid w:val="00834A67"/>
    <w:rsid w:val="0084301A"/>
    <w:rsid w:val="008433E7"/>
    <w:rsid w:val="008477F8"/>
    <w:rsid w:val="00850331"/>
    <w:rsid w:val="00850485"/>
    <w:rsid w:val="0085438E"/>
    <w:rsid w:val="00855C29"/>
    <w:rsid w:val="00856EFD"/>
    <w:rsid w:val="008622B2"/>
    <w:rsid w:val="0086612C"/>
    <w:rsid w:val="00872866"/>
    <w:rsid w:val="00875D05"/>
    <w:rsid w:val="00880990"/>
    <w:rsid w:val="00880D95"/>
    <w:rsid w:val="008874DE"/>
    <w:rsid w:val="00890F0D"/>
    <w:rsid w:val="00891F57"/>
    <w:rsid w:val="0089229E"/>
    <w:rsid w:val="00893076"/>
    <w:rsid w:val="008A0902"/>
    <w:rsid w:val="008A4CC7"/>
    <w:rsid w:val="008A66CD"/>
    <w:rsid w:val="008D6739"/>
    <w:rsid w:val="008D6FB7"/>
    <w:rsid w:val="008D726D"/>
    <w:rsid w:val="008D736D"/>
    <w:rsid w:val="008E0255"/>
    <w:rsid w:val="008E23CB"/>
    <w:rsid w:val="008E5996"/>
    <w:rsid w:val="008E7E82"/>
    <w:rsid w:val="009061C8"/>
    <w:rsid w:val="00906956"/>
    <w:rsid w:val="009114F6"/>
    <w:rsid w:val="00915891"/>
    <w:rsid w:val="00924316"/>
    <w:rsid w:val="009251BB"/>
    <w:rsid w:val="00935F3B"/>
    <w:rsid w:val="0093759E"/>
    <w:rsid w:val="0094090A"/>
    <w:rsid w:val="00944321"/>
    <w:rsid w:val="00944B88"/>
    <w:rsid w:val="009477E6"/>
    <w:rsid w:val="009505EF"/>
    <w:rsid w:val="0096056F"/>
    <w:rsid w:val="00962116"/>
    <w:rsid w:val="009655A0"/>
    <w:rsid w:val="00965C82"/>
    <w:rsid w:val="00971CAC"/>
    <w:rsid w:val="00972AB9"/>
    <w:rsid w:val="00972D29"/>
    <w:rsid w:val="00972EBC"/>
    <w:rsid w:val="0097425C"/>
    <w:rsid w:val="009748F4"/>
    <w:rsid w:val="009759B3"/>
    <w:rsid w:val="00977E44"/>
    <w:rsid w:val="00986FBD"/>
    <w:rsid w:val="0099335A"/>
    <w:rsid w:val="00995671"/>
    <w:rsid w:val="009A5C99"/>
    <w:rsid w:val="009A68FE"/>
    <w:rsid w:val="009A7C7A"/>
    <w:rsid w:val="009B0C21"/>
    <w:rsid w:val="009B7B95"/>
    <w:rsid w:val="009C1310"/>
    <w:rsid w:val="009C27C0"/>
    <w:rsid w:val="009C33C4"/>
    <w:rsid w:val="009C34FD"/>
    <w:rsid w:val="009C4E62"/>
    <w:rsid w:val="009D2037"/>
    <w:rsid w:val="009D2E2C"/>
    <w:rsid w:val="009D5799"/>
    <w:rsid w:val="009D5DDD"/>
    <w:rsid w:val="009D6875"/>
    <w:rsid w:val="009D6D3F"/>
    <w:rsid w:val="009D74A6"/>
    <w:rsid w:val="009E07FF"/>
    <w:rsid w:val="009E5750"/>
    <w:rsid w:val="009F0A3B"/>
    <w:rsid w:val="009F21CB"/>
    <w:rsid w:val="009F2220"/>
    <w:rsid w:val="009F2920"/>
    <w:rsid w:val="009F38C9"/>
    <w:rsid w:val="009F593D"/>
    <w:rsid w:val="00A01015"/>
    <w:rsid w:val="00A04B0E"/>
    <w:rsid w:val="00A10938"/>
    <w:rsid w:val="00A135D5"/>
    <w:rsid w:val="00A16B94"/>
    <w:rsid w:val="00A2114B"/>
    <w:rsid w:val="00A21BB1"/>
    <w:rsid w:val="00A2260E"/>
    <w:rsid w:val="00A234C3"/>
    <w:rsid w:val="00A23CDF"/>
    <w:rsid w:val="00A25A4D"/>
    <w:rsid w:val="00A3138C"/>
    <w:rsid w:val="00A3798E"/>
    <w:rsid w:val="00A4123A"/>
    <w:rsid w:val="00A42B2E"/>
    <w:rsid w:val="00A47CC5"/>
    <w:rsid w:val="00A52E80"/>
    <w:rsid w:val="00A56E29"/>
    <w:rsid w:val="00A61483"/>
    <w:rsid w:val="00A62330"/>
    <w:rsid w:val="00A65988"/>
    <w:rsid w:val="00A6695B"/>
    <w:rsid w:val="00A7536B"/>
    <w:rsid w:val="00A75491"/>
    <w:rsid w:val="00A81D08"/>
    <w:rsid w:val="00A8667E"/>
    <w:rsid w:val="00A90DB9"/>
    <w:rsid w:val="00A9129E"/>
    <w:rsid w:val="00A91CD4"/>
    <w:rsid w:val="00A93C94"/>
    <w:rsid w:val="00AA07B2"/>
    <w:rsid w:val="00AA279B"/>
    <w:rsid w:val="00AA27B8"/>
    <w:rsid w:val="00AA5AAD"/>
    <w:rsid w:val="00AA5FAF"/>
    <w:rsid w:val="00AA79CB"/>
    <w:rsid w:val="00AB0B32"/>
    <w:rsid w:val="00AB166D"/>
    <w:rsid w:val="00AB3589"/>
    <w:rsid w:val="00AB4CA7"/>
    <w:rsid w:val="00AC4574"/>
    <w:rsid w:val="00AC672D"/>
    <w:rsid w:val="00AC6C57"/>
    <w:rsid w:val="00AD2D81"/>
    <w:rsid w:val="00AE29B3"/>
    <w:rsid w:val="00AE39AA"/>
    <w:rsid w:val="00AE514B"/>
    <w:rsid w:val="00AF5E43"/>
    <w:rsid w:val="00B00002"/>
    <w:rsid w:val="00B01D44"/>
    <w:rsid w:val="00B077ED"/>
    <w:rsid w:val="00B121C8"/>
    <w:rsid w:val="00B13CBF"/>
    <w:rsid w:val="00B15CAA"/>
    <w:rsid w:val="00B16686"/>
    <w:rsid w:val="00B1728C"/>
    <w:rsid w:val="00B27AEB"/>
    <w:rsid w:val="00B353DC"/>
    <w:rsid w:val="00B43186"/>
    <w:rsid w:val="00B50A46"/>
    <w:rsid w:val="00B606E1"/>
    <w:rsid w:val="00B60757"/>
    <w:rsid w:val="00B65F0A"/>
    <w:rsid w:val="00B778F8"/>
    <w:rsid w:val="00B77D7F"/>
    <w:rsid w:val="00B80B77"/>
    <w:rsid w:val="00B811C1"/>
    <w:rsid w:val="00B85142"/>
    <w:rsid w:val="00B91BFE"/>
    <w:rsid w:val="00B92EA6"/>
    <w:rsid w:val="00B95260"/>
    <w:rsid w:val="00B971AE"/>
    <w:rsid w:val="00BA6AED"/>
    <w:rsid w:val="00BA7EF1"/>
    <w:rsid w:val="00BB0A3B"/>
    <w:rsid w:val="00BB182C"/>
    <w:rsid w:val="00BB3927"/>
    <w:rsid w:val="00BB468E"/>
    <w:rsid w:val="00BC672F"/>
    <w:rsid w:val="00BD051E"/>
    <w:rsid w:val="00BD0DF2"/>
    <w:rsid w:val="00BD5661"/>
    <w:rsid w:val="00BE2D5E"/>
    <w:rsid w:val="00BE2D6A"/>
    <w:rsid w:val="00BF088E"/>
    <w:rsid w:val="00BF60F0"/>
    <w:rsid w:val="00C0472B"/>
    <w:rsid w:val="00C04E5E"/>
    <w:rsid w:val="00C0669C"/>
    <w:rsid w:val="00C11088"/>
    <w:rsid w:val="00C12446"/>
    <w:rsid w:val="00C2556C"/>
    <w:rsid w:val="00C302FE"/>
    <w:rsid w:val="00C306C6"/>
    <w:rsid w:val="00C447AA"/>
    <w:rsid w:val="00C46050"/>
    <w:rsid w:val="00C46C59"/>
    <w:rsid w:val="00C47167"/>
    <w:rsid w:val="00C51BD0"/>
    <w:rsid w:val="00C60F7A"/>
    <w:rsid w:val="00C626FF"/>
    <w:rsid w:val="00C634AF"/>
    <w:rsid w:val="00C66AB7"/>
    <w:rsid w:val="00C66E7B"/>
    <w:rsid w:val="00C66EA4"/>
    <w:rsid w:val="00C84108"/>
    <w:rsid w:val="00C90B09"/>
    <w:rsid w:val="00C91E15"/>
    <w:rsid w:val="00C929E9"/>
    <w:rsid w:val="00C92B9E"/>
    <w:rsid w:val="00C93898"/>
    <w:rsid w:val="00C94B8E"/>
    <w:rsid w:val="00C9722F"/>
    <w:rsid w:val="00CB16F1"/>
    <w:rsid w:val="00CB490C"/>
    <w:rsid w:val="00CC5554"/>
    <w:rsid w:val="00CD020A"/>
    <w:rsid w:val="00CD1012"/>
    <w:rsid w:val="00CD40DD"/>
    <w:rsid w:val="00CE0D1F"/>
    <w:rsid w:val="00CE1BDE"/>
    <w:rsid w:val="00CE3600"/>
    <w:rsid w:val="00CE5C29"/>
    <w:rsid w:val="00CE694B"/>
    <w:rsid w:val="00CF62E6"/>
    <w:rsid w:val="00D059FF"/>
    <w:rsid w:val="00D1019D"/>
    <w:rsid w:val="00D10AAB"/>
    <w:rsid w:val="00D15FDE"/>
    <w:rsid w:val="00D20B3A"/>
    <w:rsid w:val="00D26450"/>
    <w:rsid w:val="00D27075"/>
    <w:rsid w:val="00D27855"/>
    <w:rsid w:val="00D3380C"/>
    <w:rsid w:val="00D37D0C"/>
    <w:rsid w:val="00D37EE0"/>
    <w:rsid w:val="00D41E24"/>
    <w:rsid w:val="00D450A3"/>
    <w:rsid w:val="00D452DE"/>
    <w:rsid w:val="00D60562"/>
    <w:rsid w:val="00D67F93"/>
    <w:rsid w:val="00D70473"/>
    <w:rsid w:val="00D75F27"/>
    <w:rsid w:val="00D777AF"/>
    <w:rsid w:val="00D8228F"/>
    <w:rsid w:val="00DA0170"/>
    <w:rsid w:val="00DA3779"/>
    <w:rsid w:val="00DB218B"/>
    <w:rsid w:val="00DC12F6"/>
    <w:rsid w:val="00DC70E1"/>
    <w:rsid w:val="00DD25DC"/>
    <w:rsid w:val="00DE05EA"/>
    <w:rsid w:val="00DE6A54"/>
    <w:rsid w:val="00DF4C83"/>
    <w:rsid w:val="00E00365"/>
    <w:rsid w:val="00E02349"/>
    <w:rsid w:val="00E029B2"/>
    <w:rsid w:val="00E04326"/>
    <w:rsid w:val="00E07C46"/>
    <w:rsid w:val="00E13F50"/>
    <w:rsid w:val="00E17B4D"/>
    <w:rsid w:val="00E17FC2"/>
    <w:rsid w:val="00E209B0"/>
    <w:rsid w:val="00E31360"/>
    <w:rsid w:val="00E32D32"/>
    <w:rsid w:val="00E34D40"/>
    <w:rsid w:val="00E3621B"/>
    <w:rsid w:val="00E412D7"/>
    <w:rsid w:val="00E445AC"/>
    <w:rsid w:val="00E453C3"/>
    <w:rsid w:val="00E46583"/>
    <w:rsid w:val="00E50971"/>
    <w:rsid w:val="00E534B8"/>
    <w:rsid w:val="00E54639"/>
    <w:rsid w:val="00E54923"/>
    <w:rsid w:val="00E66026"/>
    <w:rsid w:val="00E6749F"/>
    <w:rsid w:val="00E73E62"/>
    <w:rsid w:val="00E744A2"/>
    <w:rsid w:val="00E74E68"/>
    <w:rsid w:val="00E771EC"/>
    <w:rsid w:val="00E84248"/>
    <w:rsid w:val="00E87AE5"/>
    <w:rsid w:val="00E90628"/>
    <w:rsid w:val="00E9269E"/>
    <w:rsid w:val="00E969D2"/>
    <w:rsid w:val="00EA0355"/>
    <w:rsid w:val="00EA07E6"/>
    <w:rsid w:val="00EB1F09"/>
    <w:rsid w:val="00EC08F3"/>
    <w:rsid w:val="00EC249F"/>
    <w:rsid w:val="00ED7C44"/>
    <w:rsid w:val="00EE63EB"/>
    <w:rsid w:val="00EF5C77"/>
    <w:rsid w:val="00EF6EEF"/>
    <w:rsid w:val="00F12741"/>
    <w:rsid w:val="00F12923"/>
    <w:rsid w:val="00F16271"/>
    <w:rsid w:val="00F17EC7"/>
    <w:rsid w:val="00F34AE1"/>
    <w:rsid w:val="00F34B60"/>
    <w:rsid w:val="00F36051"/>
    <w:rsid w:val="00F43CA7"/>
    <w:rsid w:val="00F460B5"/>
    <w:rsid w:val="00F46C26"/>
    <w:rsid w:val="00F50A6B"/>
    <w:rsid w:val="00F55801"/>
    <w:rsid w:val="00F66119"/>
    <w:rsid w:val="00F71126"/>
    <w:rsid w:val="00F71AA8"/>
    <w:rsid w:val="00F71DBE"/>
    <w:rsid w:val="00F723DF"/>
    <w:rsid w:val="00F76CB8"/>
    <w:rsid w:val="00F77122"/>
    <w:rsid w:val="00F77D18"/>
    <w:rsid w:val="00F845A3"/>
    <w:rsid w:val="00F90621"/>
    <w:rsid w:val="00F92A77"/>
    <w:rsid w:val="00F949C6"/>
    <w:rsid w:val="00FA314B"/>
    <w:rsid w:val="00FB29C7"/>
    <w:rsid w:val="00FB4293"/>
    <w:rsid w:val="00FB51A5"/>
    <w:rsid w:val="00FC6691"/>
    <w:rsid w:val="00FC7966"/>
    <w:rsid w:val="00FD5B02"/>
    <w:rsid w:val="00FF2410"/>
    <w:rsid w:val="00FF3D9C"/>
    <w:rsid w:val="00FF6FF0"/>
    <w:rsid w:val="060481E4"/>
    <w:rsid w:val="06FBCEED"/>
    <w:rsid w:val="0A94D213"/>
    <w:rsid w:val="122C3EB9"/>
    <w:rsid w:val="16DD79A8"/>
    <w:rsid w:val="292C3604"/>
    <w:rsid w:val="35DC4068"/>
    <w:rsid w:val="3D4AEAE2"/>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styleId="NormalWeb">
    <w:name w:val="Normal (Web)"/>
    <w:basedOn w:val="Normal"/>
    <w:uiPriority w:val="99"/>
    <w:unhideWhenUsed/>
    <w:rsid w:val="00064E2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16">
      <w:bodyDiv w:val="1"/>
      <w:marLeft w:val="0"/>
      <w:marRight w:val="0"/>
      <w:marTop w:val="0"/>
      <w:marBottom w:val="0"/>
      <w:divBdr>
        <w:top w:val="none" w:sz="0" w:space="0" w:color="auto"/>
        <w:left w:val="none" w:sz="0" w:space="0" w:color="auto"/>
        <w:bottom w:val="none" w:sz="0" w:space="0" w:color="auto"/>
        <w:right w:val="none" w:sz="0" w:space="0" w:color="auto"/>
      </w:divBdr>
    </w:div>
    <w:div w:id="222378723">
      <w:bodyDiv w:val="1"/>
      <w:marLeft w:val="0"/>
      <w:marRight w:val="0"/>
      <w:marTop w:val="0"/>
      <w:marBottom w:val="0"/>
      <w:divBdr>
        <w:top w:val="none" w:sz="0" w:space="0" w:color="auto"/>
        <w:left w:val="none" w:sz="0" w:space="0" w:color="auto"/>
        <w:bottom w:val="none" w:sz="0" w:space="0" w:color="auto"/>
        <w:right w:val="none" w:sz="0" w:space="0" w:color="auto"/>
      </w:divBdr>
    </w:div>
    <w:div w:id="243033139">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362295251">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44215726">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562835730">
      <w:bodyDiv w:val="1"/>
      <w:marLeft w:val="0"/>
      <w:marRight w:val="0"/>
      <w:marTop w:val="0"/>
      <w:marBottom w:val="0"/>
      <w:divBdr>
        <w:top w:val="none" w:sz="0" w:space="0" w:color="auto"/>
        <w:left w:val="none" w:sz="0" w:space="0" w:color="auto"/>
        <w:bottom w:val="none" w:sz="0" w:space="0" w:color="auto"/>
        <w:right w:val="none" w:sz="0" w:space="0" w:color="auto"/>
      </w:divBdr>
    </w:div>
    <w:div w:id="590358291">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866410024">
      <w:bodyDiv w:val="1"/>
      <w:marLeft w:val="0"/>
      <w:marRight w:val="0"/>
      <w:marTop w:val="0"/>
      <w:marBottom w:val="0"/>
      <w:divBdr>
        <w:top w:val="none" w:sz="0" w:space="0" w:color="auto"/>
        <w:left w:val="none" w:sz="0" w:space="0" w:color="auto"/>
        <w:bottom w:val="none" w:sz="0" w:space="0" w:color="auto"/>
        <w:right w:val="none" w:sz="0" w:space="0" w:color="auto"/>
      </w:divBdr>
    </w:div>
    <w:div w:id="1115830957">
      <w:bodyDiv w:val="1"/>
      <w:marLeft w:val="0"/>
      <w:marRight w:val="0"/>
      <w:marTop w:val="0"/>
      <w:marBottom w:val="0"/>
      <w:divBdr>
        <w:top w:val="none" w:sz="0" w:space="0" w:color="auto"/>
        <w:left w:val="none" w:sz="0" w:space="0" w:color="auto"/>
        <w:bottom w:val="none" w:sz="0" w:space="0" w:color="auto"/>
        <w:right w:val="none" w:sz="0" w:space="0" w:color="auto"/>
      </w:divBdr>
    </w:div>
    <w:div w:id="1181041832">
      <w:bodyDiv w:val="1"/>
      <w:marLeft w:val="0"/>
      <w:marRight w:val="0"/>
      <w:marTop w:val="0"/>
      <w:marBottom w:val="0"/>
      <w:divBdr>
        <w:top w:val="none" w:sz="0" w:space="0" w:color="auto"/>
        <w:left w:val="none" w:sz="0" w:space="0" w:color="auto"/>
        <w:bottom w:val="none" w:sz="0" w:space="0" w:color="auto"/>
        <w:right w:val="none" w:sz="0" w:space="0" w:color="auto"/>
      </w:divBdr>
    </w:div>
    <w:div w:id="1181505857">
      <w:bodyDiv w:val="1"/>
      <w:marLeft w:val="0"/>
      <w:marRight w:val="0"/>
      <w:marTop w:val="0"/>
      <w:marBottom w:val="0"/>
      <w:divBdr>
        <w:top w:val="none" w:sz="0" w:space="0" w:color="auto"/>
        <w:left w:val="none" w:sz="0" w:space="0" w:color="auto"/>
        <w:bottom w:val="none" w:sz="0" w:space="0" w:color="auto"/>
        <w:right w:val="none" w:sz="0" w:space="0" w:color="auto"/>
      </w:divBdr>
    </w:div>
    <w:div w:id="1279294663">
      <w:bodyDiv w:val="1"/>
      <w:marLeft w:val="0"/>
      <w:marRight w:val="0"/>
      <w:marTop w:val="0"/>
      <w:marBottom w:val="0"/>
      <w:divBdr>
        <w:top w:val="none" w:sz="0" w:space="0" w:color="auto"/>
        <w:left w:val="none" w:sz="0" w:space="0" w:color="auto"/>
        <w:bottom w:val="none" w:sz="0" w:space="0" w:color="auto"/>
        <w:right w:val="none" w:sz="0" w:space="0" w:color="auto"/>
      </w:divBdr>
    </w:div>
    <w:div w:id="1321232030">
      <w:bodyDiv w:val="1"/>
      <w:marLeft w:val="0"/>
      <w:marRight w:val="0"/>
      <w:marTop w:val="0"/>
      <w:marBottom w:val="0"/>
      <w:divBdr>
        <w:top w:val="none" w:sz="0" w:space="0" w:color="auto"/>
        <w:left w:val="none" w:sz="0" w:space="0" w:color="auto"/>
        <w:bottom w:val="none" w:sz="0" w:space="0" w:color="auto"/>
        <w:right w:val="none" w:sz="0" w:space="0" w:color="auto"/>
      </w:divBdr>
    </w:div>
    <w:div w:id="1457986485">
      <w:bodyDiv w:val="1"/>
      <w:marLeft w:val="0"/>
      <w:marRight w:val="0"/>
      <w:marTop w:val="0"/>
      <w:marBottom w:val="0"/>
      <w:divBdr>
        <w:top w:val="none" w:sz="0" w:space="0" w:color="auto"/>
        <w:left w:val="none" w:sz="0" w:space="0" w:color="auto"/>
        <w:bottom w:val="none" w:sz="0" w:space="0" w:color="auto"/>
        <w:right w:val="none" w:sz="0" w:space="0" w:color="auto"/>
      </w:divBdr>
    </w:div>
    <w:div w:id="1543321515">
      <w:bodyDiv w:val="1"/>
      <w:marLeft w:val="0"/>
      <w:marRight w:val="0"/>
      <w:marTop w:val="0"/>
      <w:marBottom w:val="0"/>
      <w:divBdr>
        <w:top w:val="none" w:sz="0" w:space="0" w:color="auto"/>
        <w:left w:val="none" w:sz="0" w:space="0" w:color="auto"/>
        <w:bottom w:val="none" w:sz="0" w:space="0" w:color="auto"/>
        <w:right w:val="none" w:sz="0" w:space="0" w:color="auto"/>
      </w:divBdr>
    </w:div>
    <w:div w:id="1622953750">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717510762">
      <w:bodyDiv w:val="1"/>
      <w:marLeft w:val="0"/>
      <w:marRight w:val="0"/>
      <w:marTop w:val="0"/>
      <w:marBottom w:val="0"/>
      <w:divBdr>
        <w:top w:val="none" w:sz="0" w:space="0" w:color="auto"/>
        <w:left w:val="none" w:sz="0" w:space="0" w:color="auto"/>
        <w:bottom w:val="none" w:sz="0" w:space="0" w:color="auto"/>
        <w:right w:val="none" w:sz="0" w:space="0" w:color="auto"/>
      </w:divBdr>
    </w:div>
    <w:div w:id="1829132279">
      <w:bodyDiv w:val="1"/>
      <w:marLeft w:val="0"/>
      <w:marRight w:val="0"/>
      <w:marTop w:val="0"/>
      <w:marBottom w:val="0"/>
      <w:divBdr>
        <w:top w:val="none" w:sz="0" w:space="0" w:color="auto"/>
        <w:left w:val="none" w:sz="0" w:space="0" w:color="auto"/>
        <w:bottom w:val="none" w:sz="0" w:space="0" w:color="auto"/>
        <w:right w:val="none" w:sz="0" w:space="0" w:color="auto"/>
      </w:divBdr>
    </w:div>
    <w:div w:id="1830167645">
      <w:bodyDiv w:val="1"/>
      <w:marLeft w:val="0"/>
      <w:marRight w:val="0"/>
      <w:marTop w:val="0"/>
      <w:marBottom w:val="0"/>
      <w:divBdr>
        <w:top w:val="none" w:sz="0" w:space="0" w:color="auto"/>
        <w:left w:val="none" w:sz="0" w:space="0" w:color="auto"/>
        <w:bottom w:val="none" w:sz="0" w:space="0" w:color="auto"/>
        <w:right w:val="none" w:sz="0" w:space="0" w:color="auto"/>
      </w:divBdr>
    </w:div>
    <w:div w:id="1854763285">
      <w:bodyDiv w:val="1"/>
      <w:marLeft w:val="0"/>
      <w:marRight w:val="0"/>
      <w:marTop w:val="0"/>
      <w:marBottom w:val="0"/>
      <w:divBdr>
        <w:top w:val="none" w:sz="0" w:space="0" w:color="auto"/>
        <w:left w:val="none" w:sz="0" w:space="0" w:color="auto"/>
        <w:bottom w:val="none" w:sz="0" w:space="0" w:color="auto"/>
        <w:right w:val="none" w:sz="0" w:space="0" w:color="auto"/>
      </w:divBdr>
    </w:div>
    <w:div w:id="1923293196">
      <w:bodyDiv w:val="1"/>
      <w:marLeft w:val="0"/>
      <w:marRight w:val="0"/>
      <w:marTop w:val="0"/>
      <w:marBottom w:val="0"/>
      <w:divBdr>
        <w:top w:val="none" w:sz="0" w:space="0" w:color="auto"/>
        <w:left w:val="none" w:sz="0" w:space="0" w:color="auto"/>
        <w:bottom w:val="none" w:sz="0" w:space="0" w:color="auto"/>
        <w:right w:val="none" w:sz="0" w:space="0" w:color="auto"/>
      </w:divBdr>
    </w:div>
    <w:div w:id="2024546847">
      <w:bodyDiv w:val="1"/>
      <w:marLeft w:val="0"/>
      <w:marRight w:val="0"/>
      <w:marTop w:val="0"/>
      <w:marBottom w:val="0"/>
      <w:divBdr>
        <w:top w:val="none" w:sz="0" w:space="0" w:color="auto"/>
        <w:left w:val="none" w:sz="0" w:space="0" w:color="auto"/>
        <w:bottom w:val="none" w:sz="0" w:space="0" w:color="auto"/>
        <w:right w:val="none" w:sz="0" w:space="0" w:color="auto"/>
      </w:divBdr>
    </w:div>
    <w:div w:id="20776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a.govt.nz/assets/Information-sheets/Developing-cyber-resilience-for-financial-advice-provider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inancialadvicecode.govt.nz/wp-content/uploads/2021/03/codeofprofessionalconduct-march202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fications@ringahora.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a.govt.nz/assets/Reports/CustomerVulnerability-ourexpectationsforprovider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s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a.govt.nz/assets/Research/Understanding-Artificial-Intelligence-in-Financial-Services.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9" ma:contentTypeDescription="Create a new document." ma:contentTypeScope="" ma:versionID="32df8f677e5dae7b817e867fb4237600">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5f69032242787c287b26e63a4402d075"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8A659-7F76-4743-A790-7D4ADC15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5</cp:revision>
  <cp:lastPrinted>2023-05-01T02:03:00Z</cp:lastPrinted>
  <dcterms:created xsi:type="dcterms:W3CDTF">2025-01-21T22:59:00Z</dcterms:created>
  <dcterms:modified xsi:type="dcterms:W3CDTF">2025-01-21T23:53:00Z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