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1D588B3" w:rsidR="00BD6A0F" w:rsidRPr="006B7B0D" w:rsidRDefault="003B4851" w:rsidP="00BD6A0F">
            <w:pPr>
              <w:spacing w:beforeLines="60" w:before="144" w:afterLines="60" w:after="144"/>
              <w:ind w:left="0"/>
            </w:pPr>
            <w:r>
              <w:t>4285-2</w:t>
            </w: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5215A91B" w:rsidR="00BD6A0F" w:rsidRPr="006B7B0D" w:rsidRDefault="00B46D32" w:rsidP="00BD6A0F">
            <w:pPr>
              <w:spacing w:beforeLines="60" w:before="144" w:afterLines="60" w:after="144"/>
              <w:ind w:left="0"/>
            </w:pPr>
            <w:r w:rsidRPr="00B46D32">
              <w:rPr>
                <w:bCs/>
              </w:rPr>
              <w:t>New Zealand Certificate in Professional Wine Knowledge (Level 5)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1EBFBFC8" w:rsidR="00BD6A0F" w:rsidRPr="006B7B0D" w:rsidRDefault="00446E0E" w:rsidP="00BD6A0F">
            <w:pPr>
              <w:spacing w:beforeLines="60" w:before="144" w:afterLines="60" w:after="144"/>
              <w:ind w:left="0"/>
            </w:pPr>
            <w: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050074BC" w:rsidR="00BD6A0F" w:rsidRPr="006B7B0D" w:rsidRDefault="00F01631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7D8B15FA" w:rsidR="00BD6A0F" w:rsidRPr="006B7B0D" w:rsidRDefault="00F01631" w:rsidP="00BD6A0F">
            <w:pPr>
              <w:spacing w:beforeLines="60" w:before="144" w:afterLines="60" w:after="144"/>
              <w:ind w:left="0"/>
            </w:pPr>
            <w: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Credits/Ngā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655434D7" w:rsidR="00BD6A0F" w:rsidRPr="006B7B0D" w:rsidRDefault="00F01631" w:rsidP="00BD6A0F">
            <w:pPr>
              <w:spacing w:beforeLines="60" w:before="144" w:afterLines="60" w:after="144"/>
              <w:ind w:left="0"/>
            </w:pPr>
            <w:r>
              <w:t>60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2433B79A" w:rsidR="00BD6A0F" w:rsidRPr="00137CE3" w:rsidRDefault="00137CE3" w:rsidP="00137CE3">
            <w:pPr>
              <w:widowControl/>
              <w:tabs>
                <w:tab w:val="center" w:pos="1083"/>
                <w:tab w:val="center" w:pos="6040"/>
              </w:tabs>
              <w:autoSpaceDE/>
              <w:autoSpaceDN/>
              <w:spacing w:before="120" w:after="120" w:line="240" w:lineRule="auto"/>
              <w:ind w:left="0" w:right="0"/>
            </w:pPr>
            <w:r w:rsidRPr="00137CE3">
              <w:rPr>
                <w:rFonts w:eastAsia="Times New Roman"/>
                <w:bCs/>
                <w:color w:val="000000"/>
                <w:lang w:eastAsia="en-NZ"/>
              </w:rPr>
              <w:t>110103 Food, Hospitality and Personal Services &gt; Food and Hospitality &gt;</w:t>
            </w:r>
            <w:r>
              <w:rPr>
                <w:rFonts w:eastAsia="Times New Roman"/>
                <w:bCs/>
                <w:color w:val="000000"/>
                <w:lang w:eastAsia="en-NZ"/>
              </w:rPr>
              <w:t xml:space="preserve"> </w:t>
            </w:r>
            <w:r w:rsidRPr="00137CE3">
              <w:rPr>
                <w:rFonts w:eastAsia="Times New Roman"/>
                <w:bCs/>
                <w:color w:val="000000"/>
                <w:lang w:eastAsia="en-NZ"/>
              </w:rPr>
              <w:t>Food and Beverage Service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0534FAE9" w:rsidR="00BD6A0F" w:rsidRPr="00137CE3" w:rsidRDefault="00A929D1" w:rsidP="00BD6A0F">
            <w:pPr>
              <w:spacing w:beforeLines="60" w:before="144" w:afterLines="60" w:after="144"/>
              <w:ind w:left="0"/>
            </w:pPr>
            <w:r w:rsidRPr="00A929D1">
              <w:t>Ringa Hora Services Workforce Development Council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3AD61D44" w:rsidR="00BD6A0F" w:rsidRPr="00137CE3" w:rsidRDefault="006C5670" w:rsidP="00BD6A0F">
            <w:pPr>
              <w:spacing w:beforeLines="60" w:before="144" w:afterLines="60" w:after="144"/>
              <w:ind w:left="0"/>
            </w:pPr>
            <w:r w:rsidRPr="006C5670">
              <w:t>xx xxx 2030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6475E2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6DA8780D" w14:textId="3D2D15A7" w:rsidR="000E1E0C" w:rsidRPr="000E1E0C" w:rsidRDefault="000E1E0C" w:rsidP="000E1E0C">
            <w:pPr>
              <w:keepNext/>
              <w:widowControl/>
              <w:autoSpaceDE/>
              <w:autoSpaceDN/>
              <w:spacing w:before="120" w:after="120" w:line="240" w:lineRule="auto"/>
              <w:ind w:left="0" w:right="0"/>
              <w:rPr>
                <w:rFonts w:eastAsia="Times New Roman"/>
                <w:bCs/>
                <w:lang w:eastAsia="en-NZ"/>
              </w:rPr>
            </w:pPr>
            <w:r w:rsidRPr="000E1E0C">
              <w:rPr>
                <w:rFonts w:eastAsia="Times New Roman"/>
                <w:bCs/>
                <w:lang w:eastAsia="en-NZ"/>
              </w:rPr>
              <w:t xml:space="preserve">The purpose of this qualification is to provide the winery, retail, hospitality, and tourism sectors with individuals who </w:t>
            </w:r>
            <w:proofErr w:type="gramStart"/>
            <w:r w:rsidRPr="000E1E0C">
              <w:rPr>
                <w:rFonts w:eastAsia="Times New Roman"/>
                <w:bCs/>
                <w:lang w:eastAsia="en-NZ"/>
              </w:rPr>
              <w:t>are able to</w:t>
            </w:r>
            <w:proofErr w:type="gramEnd"/>
            <w:r w:rsidRPr="000E1E0C">
              <w:rPr>
                <w:rFonts w:eastAsia="Times New Roman"/>
                <w:bCs/>
                <w:lang w:eastAsia="en-NZ"/>
              </w:rPr>
              <w:t xml:space="preserve"> apply knowledge of international wine, spirits and alcoholic beverages, and their markets, to work in customer services, sales, or leadership roles.</w:t>
            </w:r>
          </w:p>
          <w:p w14:paraId="7312841B" w14:textId="05A471C7" w:rsidR="000E1E0C" w:rsidRPr="000E1E0C" w:rsidRDefault="000E1E0C" w:rsidP="000E1E0C">
            <w:pPr>
              <w:keepNext/>
              <w:widowControl/>
              <w:autoSpaceDE/>
              <w:autoSpaceDN/>
              <w:spacing w:before="120" w:after="120" w:line="240" w:lineRule="auto"/>
              <w:ind w:left="0" w:right="0"/>
              <w:rPr>
                <w:rFonts w:eastAsia="Times New Roman"/>
                <w:bCs/>
                <w:lang w:eastAsia="en-NZ"/>
              </w:rPr>
            </w:pPr>
            <w:r w:rsidRPr="000E1E0C">
              <w:rPr>
                <w:rFonts w:eastAsia="Times New Roman"/>
                <w:bCs/>
                <w:lang w:eastAsia="en-NZ"/>
              </w:rPr>
              <w:t>Graduates will be able to work independently and apply knowledge of marketing concepts and sales management tools across a range of businesses.</w:t>
            </w:r>
          </w:p>
          <w:p w14:paraId="3DF1040E" w14:textId="79D72E27" w:rsidR="00BD6A0F" w:rsidRPr="006B7B0D" w:rsidRDefault="000E1E0C" w:rsidP="000E1E0C">
            <w:pPr>
              <w:spacing w:before="60" w:after="60"/>
              <w:ind w:left="0"/>
            </w:pPr>
            <w:r w:rsidRPr="000E1E0C">
              <w:rPr>
                <w:rFonts w:eastAsia="Times New Roman"/>
                <w:bCs/>
                <w:lang w:eastAsia="en-NZ"/>
              </w:rPr>
              <w:t>The qualification will benefit the community by enhancing New Zealand’s winery, retail, hospitality, and tourism experiences.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Graduate Profile/Ngā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6475E2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523F9360" w14:textId="77777777" w:rsidR="009A3DF5" w:rsidRDefault="00072056" w:rsidP="00BD6A0F">
            <w:pPr>
              <w:spacing w:before="60" w:after="60"/>
              <w:ind w:left="0"/>
            </w:pPr>
            <w:r w:rsidRPr="00072056">
              <w:t>Graduates of this qualification will be able to:</w:t>
            </w:r>
          </w:p>
          <w:p w14:paraId="102D7111" w14:textId="10AD850F" w:rsidR="00630545" w:rsidRDefault="00072056" w:rsidP="00BD6A0F">
            <w:pPr>
              <w:spacing w:before="60" w:after="60"/>
              <w:ind w:left="0"/>
            </w:pPr>
            <w:r w:rsidRPr="00072056">
              <w:t>- Compare and contrast market conditions for winery, retail, hospitality, and tourism businesses and analyse opportunities for food and wine tourism.</w:t>
            </w:r>
          </w:p>
          <w:p w14:paraId="71D47629" w14:textId="77777777" w:rsidR="00630545" w:rsidRDefault="00072056" w:rsidP="00BD6A0F">
            <w:pPr>
              <w:spacing w:before="60" w:after="60"/>
              <w:ind w:left="0"/>
            </w:pPr>
            <w:r w:rsidRPr="00072056">
              <w:t>- Enhance brand value through the identification of New Zealand wine regions, knowledge of market conditions, and comparison and contrast of their leading wine styles.</w:t>
            </w:r>
          </w:p>
          <w:p w14:paraId="29459B52" w14:textId="6BD658E7" w:rsidR="00072500" w:rsidRDefault="00072056" w:rsidP="00BD6A0F">
            <w:pPr>
              <w:spacing w:before="60" w:after="60"/>
              <w:ind w:left="0"/>
            </w:pPr>
            <w:r w:rsidRPr="00072056">
              <w:t>- Apply knowledge of the characteristics of wine and other alcoholic beverages to advise customers in winery, retail, hospitality, and tourism businesses.</w:t>
            </w:r>
          </w:p>
          <w:p w14:paraId="44D7F16E" w14:textId="77777777" w:rsidR="00072500" w:rsidRDefault="00072056" w:rsidP="00BD6A0F">
            <w:pPr>
              <w:spacing w:before="60" w:after="60"/>
              <w:ind w:left="0"/>
            </w:pPr>
            <w:r w:rsidRPr="00072056">
              <w:t>- Apply knowledge of international styles of wine, grape varieties and wine regions to describe, compare, and contrast in accordance with formal wine tasting methodologies.</w:t>
            </w:r>
          </w:p>
          <w:p w14:paraId="56C38791" w14:textId="191D8890" w:rsidR="00BD6A0F" w:rsidRPr="006B7B0D" w:rsidRDefault="00072056" w:rsidP="00072500">
            <w:pPr>
              <w:spacing w:before="60" w:after="60"/>
              <w:ind w:left="0"/>
            </w:pPr>
            <w:r w:rsidRPr="00072056">
              <w:lastRenderedPageBreak/>
              <w:t xml:space="preserve">- Apply knowledge of spirits and liqueurs to </w:t>
            </w:r>
            <w:proofErr w:type="gramStart"/>
            <w:r w:rsidRPr="00072056">
              <w:t>compare and contrast</w:t>
            </w:r>
            <w:proofErr w:type="gramEnd"/>
            <w:r w:rsidRPr="00072056">
              <w:t xml:space="preserve"> their characteristics for service.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Education Pathway/ Ngā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1BBD313" w14:textId="74384837" w:rsidR="00BD6A0F" w:rsidRPr="006B7B0D" w:rsidRDefault="007F1C58" w:rsidP="00C07F6D">
            <w:pPr>
              <w:keepNext/>
              <w:keepLines/>
              <w:spacing w:before="60" w:after="60"/>
              <w:ind w:left="0"/>
            </w:pPr>
            <w:r w:rsidRPr="007F1C58">
              <w:t>This qualification can lead to the New Zealand Diploma in Professional Wine Management (Sommelier) (Level 6) [Ref: 4286]</w:t>
            </w:r>
            <w:r>
              <w:t>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6475E2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266A04FF" w14:textId="77777777" w:rsidR="00CD4FFA" w:rsidRPr="00CD4FFA" w:rsidRDefault="00CD4FFA" w:rsidP="00CD4FFA">
            <w:pPr>
              <w:widowControl/>
              <w:autoSpaceDE/>
              <w:autoSpaceDN/>
              <w:spacing w:before="120" w:after="120" w:line="240" w:lineRule="auto"/>
              <w:ind w:left="0" w:right="0"/>
              <w:rPr>
                <w:rFonts w:eastAsia="Times New Roman"/>
                <w:bCs/>
                <w:color w:val="000000"/>
                <w:lang w:eastAsia="en-NZ"/>
              </w:rPr>
            </w:pPr>
            <w:r w:rsidRPr="00CD4FFA">
              <w:rPr>
                <w:rFonts w:eastAsia="Times New Roman"/>
                <w:bCs/>
                <w:color w:val="000000"/>
                <w:lang w:eastAsia="en-NZ"/>
              </w:rPr>
              <w:t>Graduates of this qualification will have the skills and knowledge to work across a wide range of winery, retail, hospitality, hotel and tourism businesses as wine and beverage professionals.</w:t>
            </w:r>
          </w:p>
          <w:p w14:paraId="17D7FD9C" w14:textId="61EDE659" w:rsidR="00BD6A0F" w:rsidRPr="006B7B0D" w:rsidRDefault="00CD4FFA" w:rsidP="00CD4FFA">
            <w:pPr>
              <w:spacing w:before="60" w:after="60"/>
              <w:ind w:left="0"/>
            </w:pPr>
            <w:r w:rsidRPr="00CD4FFA">
              <w:rPr>
                <w:rFonts w:eastAsia="Times New Roman"/>
                <w:bCs/>
                <w:color w:val="000000"/>
                <w:lang w:eastAsia="en-NZ"/>
              </w:rPr>
              <w:t xml:space="preserve">Roles may include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f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 xml:space="preserve">ood </w:t>
            </w:r>
            <w:r w:rsidRPr="00CD4FFA">
              <w:rPr>
                <w:rFonts w:eastAsia="Times New Roman"/>
                <w:bCs/>
                <w:color w:val="000000"/>
                <w:lang w:eastAsia="en-NZ"/>
              </w:rPr>
              <w:t xml:space="preserve">and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b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 xml:space="preserve">everage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s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>upervisor</w:t>
            </w:r>
            <w:r w:rsidRPr="00CD4FFA">
              <w:rPr>
                <w:rFonts w:eastAsia="Times New Roman"/>
                <w:bCs/>
                <w:color w:val="000000"/>
                <w:lang w:eastAsia="en-NZ"/>
              </w:rPr>
              <w:t xml:space="preserve">,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c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 xml:space="preserve">ellar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d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 xml:space="preserve">oor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h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>ost</w:t>
            </w:r>
            <w:r w:rsidRPr="00CD4FFA">
              <w:rPr>
                <w:rFonts w:eastAsia="Times New Roman"/>
                <w:bCs/>
                <w:color w:val="000000"/>
                <w:lang w:eastAsia="en-NZ"/>
              </w:rPr>
              <w:t>/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s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>upervisor</w:t>
            </w:r>
            <w:r w:rsidRPr="00CD4FFA">
              <w:rPr>
                <w:rFonts w:eastAsia="Times New Roman"/>
                <w:bCs/>
                <w:color w:val="000000"/>
                <w:lang w:eastAsia="en-NZ"/>
              </w:rPr>
              <w:t xml:space="preserve">, and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w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 xml:space="preserve">ine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s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 xml:space="preserve">ales </w:t>
            </w:r>
            <w:r w:rsidR="00D34B7E">
              <w:rPr>
                <w:rFonts w:eastAsia="Times New Roman"/>
                <w:bCs/>
                <w:color w:val="000000"/>
                <w:lang w:eastAsia="en-NZ"/>
              </w:rPr>
              <w:t>r</w:t>
            </w:r>
            <w:r w:rsidR="00D34B7E" w:rsidRPr="00CD4FFA">
              <w:rPr>
                <w:rFonts w:eastAsia="Times New Roman"/>
                <w:bCs/>
                <w:color w:val="000000"/>
                <w:lang w:eastAsia="en-NZ"/>
              </w:rPr>
              <w:t>epresentative</w:t>
            </w:r>
            <w:r w:rsidRPr="00CD4FFA">
              <w:rPr>
                <w:rFonts w:eastAsia="Times New Roman"/>
                <w:bCs/>
                <w:color w:val="000000"/>
                <w:lang w:eastAsia="en-NZ"/>
              </w:rPr>
              <w:t>.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6475E2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1D0CAC7E" w:rsidR="00BD6A0F" w:rsidRPr="006B7B0D" w:rsidRDefault="00487EFF" w:rsidP="00914052">
            <w:pPr>
              <w:spacing w:before="60" w:after="60"/>
              <w:ind w:left="0"/>
            </w:pPr>
            <w:r w:rsidRPr="00487EFF">
              <w:t xml:space="preserve">This qualification may be awarded by </w:t>
            </w:r>
            <w:r w:rsidR="00931D95" w:rsidRPr="00931D95">
              <w:t>any education organisation with an approved programme or accreditation to deliver an approved programme</w:t>
            </w:r>
            <w:r w:rsidRPr="00487EFF">
              <w:t>.</w:t>
            </w:r>
          </w:p>
        </w:tc>
      </w:tr>
      <w:tr w:rsidR="00BD6A0F" w:rsidRPr="006B7B0D" w14:paraId="7A40E6DE" w14:textId="77777777" w:rsidTr="006475E2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Ngā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2FB9394E" w14:textId="77777777" w:rsidR="003B169F" w:rsidRPr="003B169F" w:rsidRDefault="003B169F" w:rsidP="003B169F">
            <w:pPr>
              <w:spacing w:before="60" w:after="60"/>
              <w:ind w:left="0"/>
            </w:pPr>
            <w:r w:rsidRPr="003B169F">
              <w:t>Evidence may include:</w:t>
            </w:r>
          </w:p>
          <w:p w14:paraId="6FD83103" w14:textId="7EC4F9D9" w:rsidR="003B169F" w:rsidRPr="003B169F" w:rsidRDefault="003B169F" w:rsidP="003B169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3B169F">
              <w:t xml:space="preserve">Results of employer surveys to determine if graduates of the qualification meet the graduate profile </w:t>
            </w:r>
            <w:proofErr w:type="gramStart"/>
            <w:r w:rsidRPr="003B169F">
              <w:t>outcomes;</w:t>
            </w:r>
            <w:proofErr w:type="gramEnd"/>
          </w:p>
          <w:p w14:paraId="53DD2B76" w14:textId="65B20007" w:rsidR="003B169F" w:rsidRPr="003B169F" w:rsidRDefault="003B169F" w:rsidP="003B169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3B169F">
              <w:t>Analysis of a range of workplace evidence demonstrating that graduates meet the graduate profile outcomes.</w:t>
            </w:r>
          </w:p>
          <w:p w14:paraId="7CF73F84" w14:textId="77777777" w:rsidR="00BD6A0F" w:rsidRPr="006B7B0D" w:rsidRDefault="00BD6A0F" w:rsidP="00BD6A0F">
            <w:pPr>
              <w:spacing w:before="60" w:after="60"/>
              <w:ind w:left="0"/>
            </w:pPr>
          </w:p>
          <w:p w14:paraId="344C9D72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7D4ED92" w14:textId="77777777" w:rsidTr="006475E2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5705B531" w:rsidR="00BD6A0F" w:rsidRDefault="004A74B9" w:rsidP="00BD6A0F">
            <w:pPr>
              <w:spacing w:before="60" w:after="60"/>
              <w:ind w:left="0"/>
            </w:pPr>
            <w:r>
              <w:t>Achieved.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006475E2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lastRenderedPageBreak/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2D466AFA" w14:textId="286F6EC4" w:rsidR="00BD6A0F" w:rsidRDefault="004A74B9" w:rsidP="00BD6A0F">
            <w:pPr>
              <w:spacing w:before="60" w:after="60"/>
              <w:ind w:left="0"/>
            </w:pPr>
            <w:r>
              <w:t>N/A</w:t>
            </w: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006475E2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Ngā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3243DD62" w14:textId="77777777" w:rsidR="006B402E" w:rsidRPr="006B402E" w:rsidRDefault="006B402E" w:rsidP="006B402E">
            <w:pPr>
              <w:spacing w:before="60" w:after="60"/>
              <w:ind w:left="0"/>
            </w:pPr>
            <w:r w:rsidRPr="006B402E">
              <w:t xml:space="preserve">Providers are advised to refer to the Ringa Hora Services Workforce Development Council </w:t>
            </w:r>
            <w:hyperlink r:id="rId10" w:history="1">
              <w:r w:rsidRPr="006B402E">
                <w:rPr>
                  <w:rStyle w:val="Hyperlink"/>
                </w:rPr>
                <w:t>Programme endorsement</w:t>
              </w:r>
            </w:hyperlink>
            <w:r w:rsidRPr="006B402E">
              <w:t xml:space="preserve"> considerations.</w:t>
            </w:r>
          </w:p>
          <w:p w14:paraId="7090B78A" w14:textId="77777777" w:rsidR="006B402E" w:rsidRPr="006B402E" w:rsidRDefault="006B402E" w:rsidP="006B402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6B402E">
              <w:t xml:space="preserve">Ngā </w:t>
            </w:r>
            <w:proofErr w:type="spellStart"/>
            <w:r w:rsidRPr="006B402E">
              <w:t>Whakamārama</w:t>
            </w:r>
            <w:proofErr w:type="spellEnd"/>
            <w:r w:rsidRPr="006B402E">
              <w:t xml:space="preserve"> - Programme content</w:t>
            </w:r>
          </w:p>
          <w:p w14:paraId="7ADE1926" w14:textId="77777777" w:rsidR="006B402E" w:rsidRPr="006B402E" w:rsidRDefault="006B402E" w:rsidP="006B402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6B402E">
              <w:t xml:space="preserve">Mana </w:t>
            </w:r>
            <w:proofErr w:type="spellStart"/>
            <w:r w:rsidRPr="006B402E">
              <w:t>ōrite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mō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te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hunga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ako</w:t>
            </w:r>
            <w:proofErr w:type="spellEnd"/>
            <w:r w:rsidRPr="006B402E">
              <w:t xml:space="preserve"> - Equity for learners</w:t>
            </w:r>
          </w:p>
          <w:p w14:paraId="3577B5ED" w14:textId="77777777" w:rsidR="006B402E" w:rsidRPr="006B402E" w:rsidRDefault="006B402E" w:rsidP="006B402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proofErr w:type="spellStart"/>
            <w:r w:rsidRPr="006B402E">
              <w:t>Torotoronga</w:t>
            </w:r>
            <w:proofErr w:type="spellEnd"/>
            <w:r w:rsidRPr="006B402E">
              <w:t xml:space="preserve"> me </w:t>
            </w:r>
            <w:proofErr w:type="spellStart"/>
            <w:r w:rsidRPr="006B402E">
              <w:t>te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kimi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whakaaro</w:t>
            </w:r>
            <w:proofErr w:type="spellEnd"/>
            <w:r w:rsidRPr="006B402E">
              <w:t xml:space="preserve"> - Programme engagement and consultation</w:t>
            </w:r>
          </w:p>
          <w:p w14:paraId="4C8B06F6" w14:textId="77777777" w:rsidR="006B402E" w:rsidRPr="006B402E" w:rsidRDefault="006B402E" w:rsidP="006B402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6B402E">
              <w:t xml:space="preserve">Te </w:t>
            </w:r>
            <w:proofErr w:type="spellStart"/>
            <w:r w:rsidRPr="006B402E">
              <w:t>ao</w:t>
            </w:r>
            <w:proofErr w:type="spellEnd"/>
            <w:r w:rsidRPr="006B402E">
              <w:t xml:space="preserve"> Māori</w:t>
            </w:r>
          </w:p>
          <w:p w14:paraId="0C96D83F" w14:textId="77777777" w:rsidR="006B402E" w:rsidRPr="006B402E" w:rsidRDefault="006B402E" w:rsidP="006B402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r w:rsidRPr="006B402E">
              <w:t xml:space="preserve">Te </w:t>
            </w:r>
            <w:proofErr w:type="spellStart"/>
            <w:r w:rsidRPr="006B402E">
              <w:t>akoako</w:t>
            </w:r>
            <w:proofErr w:type="spellEnd"/>
            <w:r w:rsidRPr="006B402E">
              <w:t xml:space="preserve"> me </w:t>
            </w:r>
            <w:proofErr w:type="spellStart"/>
            <w:r w:rsidRPr="006B402E">
              <w:t>ngā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reo</w:t>
            </w:r>
            <w:proofErr w:type="spellEnd"/>
            <w:r w:rsidRPr="006B402E">
              <w:t xml:space="preserve"> o Te Moana-nui-a-Kiwa - Pacific languages and learners</w:t>
            </w:r>
          </w:p>
          <w:p w14:paraId="11F2AA4D" w14:textId="77777777" w:rsidR="006B402E" w:rsidRPr="006B402E" w:rsidRDefault="006B402E" w:rsidP="006B402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60" w:after="60"/>
            </w:pPr>
            <w:proofErr w:type="spellStart"/>
            <w:r w:rsidRPr="006B402E">
              <w:t>Tangata</w:t>
            </w:r>
            <w:proofErr w:type="spellEnd"/>
            <w:r w:rsidRPr="006B402E">
              <w:t xml:space="preserve"> </w:t>
            </w:r>
            <w:proofErr w:type="spellStart"/>
            <w:r w:rsidRPr="006B402E">
              <w:t>Whaikaha</w:t>
            </w:r>
            <w:proofErr w:type="spellEnd"/>
            <w:r w:rsidRPr="006B402E">
              <w:t xml:space="preserve"> - Disabled people</w:t>
            </w:r>
          </w:p>
          <w:p w14:paraId="31EFFC84" w14:textId="0182C8C6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135"/>
        <w:gridCol w:w="2410"/>
        <w:gridCol w:w="3471"/>
      </w:tblGrid>
      <w:tr w:rsidR="00BD6A0F" w:rsidRPr="006B7B0D" w14:paraId="135E71D5" w14:textId="77777777" w:rsidTr="006475E2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Ngā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Credits/Ngā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Conditions/Ngā tikanga</w:t>
            </w:r>
          </w:p>
        </w:tc>
      </w:tr>
      <w:tr w:rsidR="00BD6A0F" w:rsidRPr="006B7B0D" w14:paraId="0FF9B405" w14:textId="77777777" w:rsidTr="006475E2">
        <w:tc>
          <w:tcPr>
            <w:tcW w:w="555" w:type="dxa"/>
            <w:shd w:val="clear" w:color="auto" w:fill="auto"/>
          </w:tcPr>
          <w:p w14:paraId="2941B140" w14:textId="60EE23E9" w:rsidR="00BD6A0F" w:rsidRPr="006B7B0D" w:rsidRDefault="00FC334D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272" w:type="dxa"/>
            <w:shd w:val="clear" w:color="auto" w:fill="auto"/>
          </w:tcPr>
          <w:p w14:paraId="3977F2F4" w14:textId="1D051461" w:rsidR="00BD6A0F" w:rsidRPr="006B7B0D" w:rsidRDefault="00CD06DF" w:rsidP="00CD06DF">
            <w:pPr>
              <w:keepNext/>
              <w:keepLines/>
              <w:spacing w:before="60" w:after="60"/>
              <w:ind w:left="0"/>
            </w:pPr>
            <w:r w:rsidRPr="00CD06DF">
              <w:t>Compare and contrast market conditions for winery, retail, hospitality, and tourism businesses and analyse opportunities for food and wine tourism.</w:t>
            </w:r>
          </w:p>
        </w:tc>
        <w:tc>
          <w:tcPr>
            <w:tcW w:w="2442" w:type="dxa"/>
            <w:shd w:val="clear" w:color="auto" w:fill="auto"/>
          </w:tcPr>
          <w:p w14:paraId="49B03D7A" w14:textId="1D09B0AA" w:rsidR="00BD6A0F" w:rsidRPr="006B7B0D" w:rsidRDefault="00A56503" w:rsidP="00C07F6D">
            <w:pPr>
              <w:keepNext/>
              <w:keepLines/>
              <w:spacing w:before="60" w:after="60"/>
              <w:ind w:left="0"/>
            </w:pPr>
            <w:r>
              <w:t>20</w:t>
            </w:r>
          </w:p>
        </w:tc>
        <w:tc>
          <w:tcPr>
            <w:tcW w:w="3653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6475E2">
        <w:tc>
          <w:tcPr>
            <w:tcW w:w="555" w:type="dxa"/>
            <w:shd w:val="clear" w:color="auto" w:fill="auto"/>
          </w:tcPr>
          <w:p w14:paraId="797BCBC0" w14:textId="2AE487C6" w:rsidR="00BD6A0F" w:rsidRPr="006B7B0D" w:rsidRDefault="00FC334D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272" w:type="dxa"/>
            <w:shd w:val="clear" w:color="auto" w:fill="auto"/>
          </w:tcPr>
          <w:p w14:paraId="1D447DD6" w14:textId="2B5A9580" w:rsidR="00BD6A0F" w:rsidRPr="006B7B0D" w:rsidRDefault="00CD06DF" w:rsidP="00BD6A0F">
            <w:pPr>
              <w:spacing w:before="60" w:after="60"/>
              <w:ind w:left="0"/>
            </w:pPr>
            <w:r w:rsidRPr="00CD06DF">
              <w:t>Enhance brand value through the identification of New Zealand wine regions, knowledge of market conditions, and comparison and contrast of their leading wine styles.</w:t>
            </w:r>
          </w:p>
          <w:p w14:paraId="679C4299" w14:textId="77777777" w:rsidR="00BD6A0F" w:rsidRPr="006B7B0D" w:rsidRDefault="00BD6A0F" w:rsidP="00BD6A0F">
            <w:pPr>
              <w:spacing w:before="60" w:after="60"/>
              <w:ind w:left="0"/>
            </w:pPr>
          </w:p>
        </w:tc>
        <w:tc>
          <w:tcPr>
            <w:tcW w:w="2442" w:type="dxa"/>
            <w:shd w:val="clear" w:color="auto" w:fill="auto"/>
          </w:tcPr>
          <w:p w14:paraId="70B3C8D6" w14:textId="160861ED" w:rsidR="00BD6A0F" w:rsidRPr="006B7B0D" w:rsidRDefault="00DC5E0E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006475E2">
        <w:tc>
          <w:tcPr>
            <w:tcW w:w="555" w:type="dxa"/>
            <w:shd w:val="clear" w:color="auto" w:fill="auto"/>
          </w:tcPr>
          <w:p w14:paraId="3B5646A8" w14:textId="1C398083" w:rsidR="00BD6A0F" w:rsidRPr="006B7B0D" w:rsidRDefault="00FC334D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272" w:type="dxa"/>
            <w:shd w:val="clear" w:color="auto" w:fill="auto"/>
          </w:tcPr>
          <w:p w14:paraId="77E15F4A" w14:textId="66EB8B21" w:rsidR="00BD6A0F" w:rsidRPr="006B7B0D" w:rsidRDefault="004F7543" w:rsidP="00BD6A0F">
            <w:pPr>
              <w:spacing w:before="60" w:after="60"/>
              <w:ind w:left="0"/>
            </w:pPr>
            <w:r w:rsidRPr="004F7543">
              <w:t xml:space="preserve">Apply knowledge of </w:t>
            </w:r>
            <w:r w:rsidRPr="004F7543">
              <w:lastRenderedPageBreak/>
              <w:t>the characteristics of wine and other alcoholic beverages to advise customers in winery, retail, hospitality, and tourism businesses.</w:t>
            </w:r>
          </w:p>
          <w:p w14:paraId="1C1185EF" w14:textId="77777777" w:rsidR="00BD6A0F" w:rsidRPr="006B7B0D" w:rsidRDefault="00BD6A0F" w:rsidP="00BD6A0F">
            <w:pPr>
              <w:spacing w:before="60" w:after="60"/>
              <w:ind w:left="0"/>
            </w:pPr>
          </w:p>
        </w:tc>
        <w:tc>
          <w:tcPr>
            <w:tcW w:w="2442" w:type="dxa"/>
            <w:shd w:val="clear" w:color="auto" w:fill="auto"/>
          </w:tcPr>
          <w:p w14:paraId="674BD29A" w14:textId="5AA1844F" w:rsidR="00BD6A0F" w:rsidRPr="006B7B0D" w:rsidRDefault="00DC5E0E" w:rsidP="00BD6A0F">
            <w:pPr>
              <w:spacing w:before="60" w:after="60"/>
              <w:ind w:left="0"/>
            </w:pPr>
            <w:r>
              <w:lastRenderedPageBreak/>
              <w:t>5</w:t>
            </w:r>
          </w:p>
        </w:tc>
        <w:tc>
          <w:tcPr>
            <w:tcW w:w="3653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9159CD" w:rsidRPr="006B7B0D" w14:paraId="31A3CF2A" w14:textId="77777777" w:rsidTr="006475E2">
        <w:tc>
          <w:tcPr>
            <w:tcW w:w="555" w:type="dxa"/>
            <w:shd w:val="clear" w:color="auto" w:fill="auto"/>
          </w:tcPr>
          <w:p w14:paraId="4CBF7C83" w14:textId="5DA11B94" w:rsidR="009159CD" w:rsidRPr="006B7B0D" w:rsidRDefault="00FC334D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272" w:type="dxa"/>
            <w:shd w:val="clear" w:color="auto" w:fill="auto"/>
          </w:tcPr>
          <w:p w14:paraId="69187AFD" w14:textId="151D4CAC" w:rsidR="009159CD" w:rsidRPr="006B7B0D" w:rsidRDefault="00FC334D" w:rsidP="00BD6A0F">
            <w:pPr>
              <w:spacing w:before="60" w:after="60"/>
              <w:ind w:left="0"/>
            </w:pPr>
            <w:r w:rsidRPr="00FC334D">
              <w:t>Apply knowledge of international styles of wine, grape varieties and wine regions to describe, compare, and contrast in accordance with formal wine tasting methodologies.</w:t>
            </w:r>
          </w:p>
        </w:tc>
        <w:tc>
          <w:tcPr>
            <w:tcW w:w="2442" w:type="dxa"/>
            <w:shd w:val="clear" w:color="auto" w:fill="auto"/>
          </w:tcPr>
          <w:p w14:paraId="6B332E19" w14:textId="00197856" w:rsidR="009159CD" w:rsidRPr="006B7B0D" w:rsidRDefault="00DC5E0E" w:rsidP="00BD6A0F">
            <w:pPr>
              <w:spacing w:before="60" w:after="60"/>
              <w:ind w:left="0"/>
            </w:pPr>
            <w:r>
              <w:t>15</w:t>
            </w:r>
          </w:p>
        </w:tc>
        <w:tc>
          <w:tcPr>
            <w:tcW w:w="3653" w:type="dxa"/>
            <w:shd w:val="clear" w:color="auto" w:fill="auto"/>
          </w:tcPr>
          <w:p w14:paraId="257C6E65" w14:textId="77777777" w:rsidR="009159CD" w:rsidRPr="006B7B0D" w:rsidRDefault="009159CD" w:rsidP="00BD6A0F">
            <w:pPr>
              <w:spacing w:before="60" w:after="60"/>
              <w:ind w:left="0"/>
            </w:pPr>
          </w:p>
        </w:tc>
      </w:tr>
      <w:tr w:rsidR="009159CD" w:rsidRPr="006B7B0D" w14:paraId="0A6A6AF7" w14:textId="77777777" w:rsidTr="006475E2">
        <w:tc>
          <w:tcPr>
            <w:tcW w:w="555" w:type="dxa"/>
            <w:shd w:val="clear" w:color="auto" w:fill="auto"/>
          </w:tcPr>
          <w:p w14:paraId="744F5A1E" w14:textId="08ABE49F" w:rsidR="009159CD" w:rsidRPr="006B7B0D" w:rsidRDefault="00213FF2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272" w:type="dxa"/>
            <w:shd w:val="clear" w:color="auto" w:fill="auto"/>
          </w:tcPr>
          <w:p w14:paraId="23412544" w14:textId="75454C2C" w:rsidR="009159CD" w:rsidRPr="006B7B0D" w:rsidRDefault="00FC334D" w:rsidP="00BD6A0F">
            <w:pPr>
              <w:spacing w:before="60" w:after="60"/>
              <w:ind w:left="0"/>
            </w:pPr>
            <w:r w:rsidRPr="00FC334D">
              <w:t xml:space="preserve">Apply knowledge of spirits and liqueurs to </w:t>
            </w:r>
            <w:proofErr w:type="gramStart"/>
            <w:r w:rsidRPr="00FC334D">
              <w:t>compare and contrast</w:t>
            </w:r>
            <w:proofErr w:type="gramEnd"/>
            <w:r w:rsidRPr="00FC334D">
              <w:t xml:space="preserve"> their characteristics for service.</w:t>
            </w:r>
          </w:p>
        </w:tc>
        <w:tc>
          <w:tcPr>
            <w:tcW w:w="2442" w:type="dxa"/>
            <w:shd w:val="clear" w:color="auto" w:fill="auto"/>
          </w:tcPr>
          <w:p w14:paraId="153F58A1" w14:textId="27DC56B3" w:rsidR="009159CD" w:rsidRPr="006B7B0D" w:rsidRDefault="00DC5E0E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653" w:type="dxa"/>
            <w:shd w:val="clear" w:color="auto" w:fill="auto"/>
          </w:tcPr>
          <w:p w14:paraId="3A37D16F" w14:textId="77777777" w:rsidR="009159CD" w:rsidRPr="006B7B0D" w:rsidRDefault="009159C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04E53FDC" w:rsidR="00BD6A0F" w:rsidRPr="006B7B0D" w:rsidRDefault="00966840" w:rsidP="00BD6A0F">
            <w:pPr>
              <w:spacing w:before="60" w:after="60"/>
              <w:ind w:left="0"/>
            </w:pPr>
            <w:r>
              <w:t>N/A</w:t>
            </w:r>
          </w:p>
          <w:p w14:paraId="27471E7E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Default="00BD6A0F" w:rsidP="00BD6A0F">
            <w:pPr>
              <w:spacing w:before="60" w:after="60"/>
              <w:ind w:left="0"/>
            </w:pPr>
            <w:r w:rsidRPr="006B7B0D">
              <w:t>Version Information</w:t>
            </w:r>
          </w:p>
          <w:p w14:paraId="6D65C465" w14:textId="5B21D039" w:rsidR="00EC5B35" w:rsidRPr="006B7B0D" w:rsidRDefault="00EC5B35" w:rsidP="00BD6A0F">
            <w:pPr>
              <w:spacing w:before="60" w:after="60"/>
              <w:ind w:left="0"/>
            </w:pPr>
            <w:r>
              <w:t xml:space="preserve">Version </w:t>
            </w:r>
            <w:r w:rsidR="00CB2D4C">
              <w:t>2 of this qualification was published in xx xxx as the result of a scheduled review.</w:t>
            </w:r>
          </w:p>
          <w:p w14:paraId="339E6880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1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2476D2F6" w14:textId="521AEB84" w:rsidR="009E36EF" w:rsidRDefault="009E36EF" w:rsidP="00BD6A0F">
            <w:pPr>
              <w:spacing w:before="60" w:after="60"/>
              <w:ind w:left="0"/>
            </w:pPr>
            <w:r>
              <w:t xml:space="preserve">The last </w:t>
            </w:r>
            <w:r w:rsidR="003D7C52">
              <w:t>date</w:t>
            </w:r>
            <w:r>
              <w:t xml:space="preserve"> for assessment for version 1 of this qualification </w:t>
            </w:r>
            <w:r w:rsidR="003D7C52">
              <w:t>is 31 December 2028.</w:t>
            </w:r>
          </w:p>
          <w:p w14:paraId="30AE9898" w14:textId="16C2191C" w:rsidR="007D5AB3" w:rsidRDefault="00A430B8" w:rsidP="00BD6A0F">
            <w:pPr>
              <w:spacing w:before="60" w:after="60"/>
              <w:ind w:left="0"/>
            </w:pPr>
            <w:r w:rsidRPr="00A430B8">
              <w:t>It is the intention of Ringa Hora Services WDC that no existing trainee should be disadvantaged by these transition arrangements. Any person who considers they have been disadvantaged may appeal to:</w:t>
            </w:r>
          </w:p>
          <w:p w14:paraId="70BC6B15" w14:textId="77777777" w:rsidR="007D5AB3" w:rsidRPr="007D5AB3" w:rsidRDefault="007D5AB3" w:rsidP="007D5AB3">
            <w:pPr>
              <w:spacing w:before="60" w:after="60"/>
              <w:ind w:left="0"/>
            </w:pPr>
            <w:r w:rsidRPr="007D5AB3">
              <w:t>Ringa Hora Services Workforce Development Council</w:t>
            </w:r>
          </w:p>
          <w:p w14:paraId="076506DC" w14:textId="77777777" w:rsidR="007D5AB3" w:rsidRPr="007D5AB3" w:rsidRDefault="007D5AB3" w:rsidP="007D5AB3">
            <w:pPr>
              <w:spacing w:before="60" w:after="60"/>
              <w:ind w:left="0"/>
            </w:pPr>
            <w:r w:rsidRPr="007D5AB3">
              <w:t>PO Box 445</w:t>
            </w:r>
          </w:p>
          <w:p w14:paraId="49C4CDB5" w14:textId="77777777" w:rsidR="007D5AB3" w:rsidRPr="007D5AB3" w:rsidRDefault="007D5AB3" w:rsidP="007D5AB3">
            <w:pPr>
              <w:spacing w:before="60" w:after="60"/>
              <w:ind w:left="0"/>
            </w:pPr>
            <w:r w:rsidRPr="007D5AB3">
              <w:t>Wellington</w:t>
            </w:r>
          </w:p>
          <w:p w14:paraId="1E1483E7" w14:textId="5EA91A7C" w:rsidR="007D5AB3" w:rsidRPr="007D5AB3" w:rsidRDefault="007D5AB3" w:rsidP="007D5AB3">
            <w:pPr>
              <w:spacing w:before="60" w:after="60"/>
              <w:ind w:left="0"/>
            </w:pPr>
          </w:p>
          <w:p w14:paraId="14150505" w14:textId="77777777" w:rsidR="007D5AB3" w:rsidRPr="007D5AB3" w:rsidRDefault="007D5AB3" w:rsidP="007D5AB3">
            <w:pPr>
              <w:spacing w:before="60" w:after="60"/>
              <w:ind w:left="0"/>
            </w:pPr>
            <w:r w:rsidRPr="007D5AB3">
              <w:t>Phone: 04 909 0306</w:t>
            </w:r>
          </w:p>
          <w:p w14:paraId="056E4AF7" w14:textId="77777777" w:rsidR="007D5AB3" w:rsidRPr="007D5AB3" w:rsidRDefault="007D5AB3" w:rsidP="007D5AB3">
            <w:pPr>
              <w:spacing w:before="60" w:after="60"/>
              <w:ind w:left="0"/>
            </w:pPr>
            <w:r w:rsidRPr="007D5AB3">
              <w:t xml:space="preserve">Web: </w:t>
            </w:r>
            <w:hyperlink r:id="rId12" w:history="1">
              <w:r w:rsidRPr="007D5AB3">
                <w:rPr>
                  <w:rStyle w:val="Hyperlink"/>
                </w:rPr>
                <w:t>www.ringahora.nz</w:t>
              </w:r>
            </w:hyperlink>
          </w:p>
          <w:p w14:paraId="733E9768" w14:textId="77777777" w:rsidR="007D5AB3" w:rsidRPr="007D5AB3" w:rsidRDefault="007D5AB3" w:rsidP="007D5AB3">
            <w:pPr>
              <w:spacing w:before="60" w:after="60"/>
              <w:ind w:left="0"/>
            </w:pPr>
            <w:r w:rsidRPr="007D5AB3">
              <w:lastRenderedPageBreak/>
              <w:t xml:space="preserve">Email: </w:t>
            </w:r>
            <w:hyperlink r:id="rId13" w:history="1">
              <w:r w:rsidRPr="007D5AB3">
                <w:rPr>
                  <w:rStyle w:val="Hyperlink"/>
                </w:rPr>
                <w:t>Qualifications@ringahora.nz</w:t>
              </w:r>
            </w:hyperlink>
          </w:p>
          <w:p w14:paraId="3F57DECD" w14:textId="77777777" w:rsidR="00CD4259" w:rsidRPr="006B7B0D" w:rsidRDefault="00CD4259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first" r:id="rId14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5F2C" w14:textId="77777777" w:rsidR="00A924CB" w:rsidRDefault="00A924CB" w:rsidP="00C07F6D">
      <w:pPr>
        <w:spacing w:before="0" w:after="0" w:line="240" w:lineRule="auto"/>
      </w:pPr>
      <w:r>
        <w:separator/>
      </w:r>
    </w:p>
  </w:endnote>
  <w:endnote w:type="continuationSeparator" w:id="0">
    <w:p w14:paraId="5A473AA9" w14:textId="77777777" w:rsidR="00A924CB" w:rsidRDefault="00A924CB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61D381C9" w14:textId="77777777" w:rsidR="00A924CB" w:rsidRDefault="00A924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D9FB" w14:textId="77777777" w:rsidR="00A924CB" w:rsidRDefault="00A924CB" w:rsidP="00C07F6D">
      <w:pPr>
        <w:spacing w:before="0" w:after="0" w:line="240" w:lineRule="auto"/>
      </w:pPr>
      <w:r>
        <w:separator/>
      </w:r>
    </w:p>
  </w:footnote>
  <w:footnote w:type="continuationSeparator" w:id="0">
    <w:p w14:paraId="06D951BB" w14:textId="77777777" w:rsidR="00A924CB" w:rsidRDefault="00A924CB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43A908E1" w14:textId="77777777" w:rsidR="00A924CB" w:rsidRDefault="00A924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15F8"/>
    <w:multiLevelType w:val="multilevel"/>
    <w:tmpl w:val="0414F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E7487"/>
    <w:multiLevelType w:val="multilevel"/>
    <w:tmpl w:val="3FEA5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58179341">
    <w:abstractNumId w:val="0"/>
  </w:num>
  <w:num w:numId="2" w16cid:durableId="63387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0303"/>
    <w:rsid w:val="00024DF3"/>
    <w:rsid w:val="00072056"/>
    <w:rsid w:val="00072500"/>
    <w:rsid w:val="00081734"/>
    <w:rsid w:val="00092674"/>
    <w:rsid w:val="000E1E0C"/>
    <w:rsid w:val="00133CCB"/>
    <w:rsid w:val="00137CE3"/>
    <w:rsid w:val="00157C48"/>
    <w:rsid w:val="001974A8"/>
    <w:rsid w:val="00202BC5"/>
    <w:rsid w:val="00204852"/>
    <w:rsid w:val="00213FF2"/>
    <w:rsid w:val="002C75B4"/>
    <w:rsid w:val="00325DE8"/>
    <w:rsid w:val="00395A2C"/>
    <w:rsid w:val="003B169F"/>
    <w:rsid w:val="003B4851"/>
    <w:rsid w:val="003D29FB"/>
    <w:rsid w:val="003D7C52"/>
    <w:rsid w:val="003E0352"/>
    <w:rsid w:val="00421AB6"/>
    <w:rsid w:val="00446E0E"/>
    <w:rsid w:val="00454AA8"/>
    <w:rsid w:val="00487EFF"/>
    <w:rsid w:val="004A74B9"/>
    <w:rsid w:val="004F7543"/>
    <w:rsid w:val="005A42E3"/>
    <w:rsid w:val="00630545"/>
    <w:rsid w:val="006B402E"/>
    <w:rsid w:val="006C5670"/>
    <w:rsid w:val="006E4C80"/>
    <w:rsid w:val="00700B35"/>
    <w:rsid w:val="00760B5A"/>
    <w:rsid w:val="007853A1"/>
    <w:rsid w:val="007C29DC"/>
    <w:rsid w:val="007D3E5C"/>
    <w:rsid w:val="007D5AB3"/>
    <w:rsid w:val="007F1C58"/>
    <w:rsid w:val="00810E26"/>
    <w:rsid w:val="00857AC7"/>
    <w:rsid w:val="00873DAF"/>
    <w:rsid w:val="008B121A"/>
    <w:rsid w:val="00914052"/>
    <w:rsid w:val="009159CD"/>
    <w:rsid w:val="0091717D"/>
    <w:rsid w:val="00931D95"/>
    <w:rsid w:val="00966840"/>
    <w:rsid w:val="009975EC"/>
    <w:rsid w:val="009A3DF5"/>
    <w:rsid w:val="009E36EF"/>
    <w:rsid w:val="009F7830"/>
    <w:rsid w:val="00A312A5"/>
    <w:rsid w:val="00A430B8"/>
    <w:rsid w:val="00A56503"/>
    <w:rsid w:val="00A86F81"/>
    <w:rsid w:val="00A924CB"/>
    <w:rsid w:val="00A929D1"/>
    <w:rsid w:val="00B247CD"/>
    <w:rsid w:val="00B46D32"/>
    <w:rsid w:val="00B50977"/>
    <w:rsid w:val="00B56C42"/>
    <w:rsid w:val="00B86B76"/>
    <w:rsid w:val="00BB464D"/>
    <w:rsid w:val="00BD6A0F"/>
    <w:rsid w:val="00C07F6D"/>
    <w:rsid w:val="00C22ED4"/>
    <w:rsid w:val="00CA6F31"/>
    <w:rsid w:val="00CB2D4C"/>
    <w:rsid w:val="00CD06DF"/>
    <w:rsid w:val="00CD1EC5"/>
    <w:rsid w:val="00CD4259"/>
    <w:rsid w:val="00CD4FFA"/>
    <w:rsid w:val="00CE2A73"/>
    <w:rsid w:val="00D34B7E"/>
    <w:rsid w:val="00D916EE"/>
    <w:rsid w:val="00DC5E0E"/>
    <w:rsid w:val="00E717C0"/>
    <w:rsid w:val="00E71F03"/>
    <w:rsid w:val="00EA3D0A"/>
    <w:rsid w:val="00EB12B1"/>
    <w:rsid w:val="00EC5B35"/>
    <w:rsid w:val="00F01631"/>
    <w:rsid w:val="00F43C9B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7D5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A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5B35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37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99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10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95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9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80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65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37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05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77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zqa.govt.nz/nzqf/search/Qualifications@ringahora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nzqf/search/www.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framework/updates/summaries.d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ingahora.nz/qualifications-and-assurance/programme-endorsement/our-role-in-programme-endors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A0288-16A7-47F5-BD64-CAAE70E76CEF}">
  <ds:schemaRefs>
    <ds:schemaRef ds:uri="ec761af5-23b3-453d-aa00-8620c42b1ab2"/>
    <ds:schemaRef ds:uri="http://schemas.microsoft.com/office/infopath/2007/PartnerControls"/>
    <ds:schemaRef ds:uri="66ede4f7-b24f-4e47-b52f-3b3ed06db11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7c66f8a-fd0d-4da3-b6ce-0241484f0de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9DA807-7939-4154-9D13-079BB4271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18460-D021-49BA-BF2D-3DF7D704B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Stuart Horner</cp:lastModifiedBy>
  <cp:revision>4</cp:revision>
  <dcterms:created xsi:type="dcterms:W3CDTF">2024-12-17T01:30:00Z</dcterms:created>
  <dcterms:modified xsi:type="dcterms:W3CDTF">2024-12-17T18:41:00Z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