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55A76DAA" w14:textId="77777777" w:rsidR="002D078D" w:rsidRDefault="002D078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2"/>
        <w:gridCol w:w="2252"/>
        <w:gridCol w:w="3237"/>
        <w:gridCol w:w="2936"/>
        <w:gridCol w:w="7"/>
      </w:tblGrid>
      <w:tr w:rsidR="008961BE" w:rsidRPr="006B7B0D" w14:paraId="463DD4EC" w14:textId="77777777" w:rsidTr="00985210">
        <w:trPr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1551ED8" w14:textId="2F10F681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8432" w:type="dxa"/>
            <w:gridSpan w:val="4"/>
            <w:shd w:val="clear" w:color="auto" w:fill="FFFFFF" w:themeFill="background1"/>
            <w:vAlign w:val="center"/>
          </w:tcPr>
          <w:p w14:paraId="498D2128" w14:textId="77777777" w:rsidR="00BD6A0F" w:rsidRPr="006B7B0D" w:rsidRDefault="00BD6A0F" w:rsidP="00985210">
            <w:pPr>
              <w:spacing w:beforeLines="60" w:before="144" w:afterLines="60" w:after="144"/>
              <w:ind w:left="575"/>
            </w:pPr>
          </w:p>
        </w:tc>
      </w:tr>
      <w:tr w:rsidR="00EF112E" w:rsidRPr="006B7B0D" w14:paraId="4197BD3D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8425" w:type="dxa"/>
            <w:gridSpan w:val="3"/>
            <w:shd w:val="clear" w:color="auto" w:fill="FFFFFF" w:themeFill="background1"/>
            <w:vAlign w:val="center"/>
          </w:tcPr>
          <w:p w14:paraId="1A22BC1F" w14:textId="7201D5E6" w:rsidR="00BD6A0F" w:rsidRPr="00377637" w:rsidRDefault="785A3A03" w:rsidP="00985210">
            <w:pPr>
              <w:tabs>
                <w:tab w:val="left" w:pos="1843"/>
                <w:tab w:val="left" w:pos="4409"/>
                <w:tab w:val="left" w:pos="5670"/>
              </w:tabs>
              <w:spacing w:beforeLines="60" w:before="144" w:afterLines="60" w:after="144"/>
              <w:ind w:left="37" w:right="2155"/>
            </w:pPr>
            <w:r w:rsidRPr="00985210">
              <w:rPr>
                <w:rFonts w:eastAsia="Calibri"/>
                <w:color w:val="000000" w:themeColor="text1"/>
              </w:rPr>
              <w:t xml:space="preserve">New Zealand Certificate in </w:t>
            </w:r>
            <w:r w:rsidR="00212263" w:rsidRPr="00985210">
              <w:rPr>
                <w:rFonts w:eastAsia="Calibri"/>
                <w:color w:val="000000" w:themeColor="text1"/>
              </w:rPr>
              <w:t xml:space="preserve">Professional Legal Skills (Level 6) </w:t>
            </w:r>
          </w:p>
        </w:tc>
      </w:tr>
      <w:tr w:rsidR="00EF112E" w:rsidRPr="006B7B0D" w14:paraId="71188D98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8425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31598C" w:rsidRPr="006B7B0D" w14:paraId="6F5FFF95" w14:textId="77777777" w:rsidTr="00985210">
        <w:trPr>
          <w:gridAfter w:val="1"/>
          <w:wAfter w:w="7" w:type="dxa"/>
          <w:trHeight w:val="942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63CFBA88" w14:textId="35825B71" w:rsidR="00BD6A0F" w:rsidRPr="006B7B0D" w:rsidRDefault="005F465D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3333E0F4" w14:textId="0C291DE4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proofErr w:type="spellStart"/>
            <w:r w:rsidRPr="006B7B0D">
              <w:rPr>
                <w:b/>
                <w:bCs/>
              </w:rPr>
              <w:t>Qualificationtype</w:t>
            </w:r>
            <w:proofErr w:type="spellEnd"/>
            <w:r w:rsidRPr="006B7B0D">
              <w:rPr>
                <w:b/>
                <w:bCs/>
              </w:rPr>
              <w:t xml:space="preserve">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6849B98B" w14:textId="13892C94" w:rsidR="00BD6A0F" w:rsidRPr="006B7B0D" w:rsidRDefault="005F465D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31598C" w:rsidRPr="006B7B0D" w14:paraId="606D6B8D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43D07A41" w14:textId="16293D79" w:rsidR="00BD6A0F" w:rsidRPr="00377637" w:rsidRDefault="00B10BA9" w:rsidP="00BD6A0F">
            <w:pPr>
              <w:spacing w:beforeLines="60" w:before="144" w:afterLines="60" w:after="144"/>
              <w:ind w:left="0"/>
            </w:pPr>
            <w:r w:rsidRPr="00377637">
              <w:t>6</w:t>
            </w:r>
          </w:p>
        </w:tc>
        <w:tc>
          <w:tcPr>
            <w:tcW w:w="3237" w:type="dxa"/>
            <w:shd w:val="clear" w:color="auto" w:fill="FFFFFF" w:themeFill="background1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78F815E8" w14:textId="206C61B0" w:rsidR="00BD6A0F" w:rsidRPr="006B7B0D" w:rsidRDefault="00C2042C" w:rsidP="00BD6A0F">
            <w:pPr>
              <w:spacing w:beforeLines="60" w:before="144" w:afterLines="60" w:after="144"/>
              <w:ind w:left="0"/>
            </w:pPr>
            <w:r>
              <w:t>50</w:t>
            </w:r>
          </w:p>
        </w:tc>
      </w:tr>
      <w:tr w:rsidR="00EF112E" w:rsidRPr="006B7B0D" w14:paraId="2FF27773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8425" w:type="dxa"/>
            <w:gridSpan w:val="3"/>
            <w:shd w:val="clear" w:color="auto" w:fill="FFFFFF" w:themeFill="background1"/>
            <w:vAlign w:val="center"/>
          </w:tcPr>
          <w:p w14:paraId="57714860" w14:textId="39C4AE65" w:rsidR="00BD6A0F" w:rsidRPr="00377637" w:rsidRDefault="00A62B0F" w:rsidP="3D6FE4BD">
            <w:pPr>
              <w:spacing w:beforeLines="60" w:before="144" w:afterLines="60" w:after="144"/>
              <w:ind w:left="0"/>
              <w:rPr>
                <w:color w:val="414042"/>
              </w:rPr>
            </w:pPr>
            <w:r w:rsidRPr="00985210">
              <w:t xml:space="preserve">090913 </w:t>
            </w:r>
            <w:r w:rsidR="4C64E5DC" w:rsidRPr="00985210">
              <w:t>Society and Culture &gt; Law &gt; L</w:t>
            </w:r>
            <w:r w:rsidRPr="00985210">
              <w:t>egal Practice</w:t>
            </w:r>
          </w:p>
        </w:tc>
      </w:tr>
      <w:tr w:rsidR="00EF112E" w:rsidRPr="006B7B0D" w14:paraId="73F37DDD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8425" w:type="dxa"/>
            <w:gridSpan w:val="3"/>
            <w:shd w:val="clear" w:color="auto" w:fill="FFFFFF" w:themeFill="background1"/>
            <w:vAlign w:val="center"/>
          </w:tcPr>
          <w:p w14:paraId="57CD2439" w14:textId="14D17588" w:rsidR="00BD6A0F" w:rsidRPr="00985210" w:rsidRDefault="00D62EDD" w:rsidP="00BD6A0F">
            <w:pPr>
              <w:spacing w:beforeLines="60" w:before="144" w:afterLines="60" w:after="144"/>
              <w:ind w:left="0"/>
            </w:pPr>
            <w:r w:rsidRPr="00985210">
              <w:t xml:space="preserve">Ringa Hora Services Workforce Development Council </w:t>
            </w:r>
          </w:p>
        </w:tc>
      </w:tr>
      <w:tr w:rsidR="00EF112E" w:rsidRPr="006B7B0D" w14:paraId="25AD149B" w14:textId="77777777" w:rsidTr="00985210">
        <w:trPr>
          <w:gridAfter w:val="1"/>
          <w:wAfter w:w="7" w:type="dxa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985210">
            <w:pPr>
              <w:spacing w:beforeLines="60" w:before="144" w:afterLines="60" w:after="144" w:line="240" w:lineRule="auto"/>
              <w:ind w:left="0" w:right="-246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8425" w:type="dxa"/>
            <w:gridSpan w:val="3"/>
            <w:shd w:val="clear" w:color="auto" w:fill="FFFFFF" w:themeFill="background1"/>
            <w:vAlign w:val="center"/>
          </w:tcPr>
          <w:p w14:paraId="61F8ED1B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7C155694" w14:textId="29301A2A" w:rsidR="00C03E37" w:rsidRPr="00985210" w:rsidRDefault="004A2EA6" w:rsidP="00C03E37">
            <w:pPr>
              <w:spacing w:before="120" w:after="120" w:line="240" w:lineRule="auto"/>
              <w:ind w:left="0"/>
              <w:rPr>
                <w:bCs/>
              </w:rPr>
            </w:pPr>
            <w:r w:rsidRPr="00985210">
              <w:rPr>
                <w:bCs/>
              </w:rPr>
              <w:t>The purpose of this qualification i</w:t>
            </w:r>
            <w:r w:rsidR="00F23825" w:rsidRPr="00985210">
              <w:rPr>
                <w:bCs/>
              </w:rPr>
              <w:t>s to</w:t>
            </w:r>
            <w:r w:rsidR="005B6D48" w:rsidRPr="00985210">
              <w:rPr>
                <w:bCs/>
              </w:rPr>
              <w:t xml:space="preserve"> </w:t>
            </w:r>
            <w:r w:rsidR="00CD1005" w:rsidRPr="00985210">
              <w:rPr>
                <w:bCs/>
              </w:rPr>
              <w:t>prepare</w:t>
            </w:r>
            <w:r w:rsidR="005B6D48" w:rsidRPr="00985210">
              <w:rPr>
                <w:bCs/>
              </w:rPr>
              <w:t xml:space="preserve"> law graduates with </w:t>
            </w:r>
            <w:r w:rsidR="00AE0D3E" w:rsidRPr="00985210">
              <w:rPr>
                <w:bCs/>
              </w:rPr>
              <w:t xml:space="preserve">professional </w:t>
            </w:r>
            <w:r w:rsidR="00B5552E" w:rsidRPr="00985210">
              <w:rPr>
                <w:bCs/>
              </w:rPr>
              <w:t xml:space="preserve">legal </w:t>
            </w:r>
            <w:r w:rsidR="005B6D48" w:rsidRPr="00985210">
              <w:rPr>
                <w:bCs/>
              </w:rPr>
              <w:t>skills</w:t>
            </w:r>
            <w:r w:rsidR="007100A7" w:rsidRPr="00985210">
              <w:rPr>
                <w:bCs/>
              </w:rPr>
              <w:t xml:space="preserve"> </w:t>
            </w:r>
            <w:r w:rsidR="00371C5B" w:rsidRPr="00985210">
              <w:rPr>
                <w:bCs/>
              </w:rPr>
              <w:t xml:space="preserve">to work as a barrister </w:t>
            </w:r>
            <w:r w:rsidR="00A15F0E" w:rsidRPr="00985210">
              <w:rPr>
                <w:bCs/>
              </w:rPr>
              <w:t>and</w:t>
            </w:r>
            <w:r w:rsidR="00371C5B" w:rsidRPr="00985210">
              <w:rPr>
                <w:bCs/>
              </w:rPr>
              <w:t xml:space="preserve"> solicitor in Aote</w:t>
            </w:r>
            <w:r w:rsidR="003929D8" w:rsidRPr="00985210">
              <w:rPr>
                <w:bCs/>
              </w:rPr>
              <w:t>ar</w:t>
            </w:r>
            <w:r w:rsidR="00371C5B" w:rsidRPr="00985210">
              <w:rPr>
                <w:bCs/>
              </w:rPr>
              <w:t xml:space="preserve">oa New Zealand. </w:t>
            </w:r>
          </w:p>
          <w:p w14:paraId="67EEAFE1" w14:textId="2937E70E" w:rsidR="00BD6A0F" w:rsidRPr="00985210" w:rsidRDefault="001229B3">
            <w:pPr>
              <w:spacing w:before="120" w:after="120" w:line="240" w:lineRule="auto"/>
              <w:ind w:left="0"/>
              <w:rPr>
                <w:bCs/>
              </w:rPr>
            </w:pPr>
            <w:r w:rsidRPr="00985210">
              <w:rPr>
                <w:bCs/>
              </w:rPr>
              <w:t>Th</w:t>
            </w:r>
            <w:r w:rsidR="00D25B05" w:rsidRPr="00985210">
              <w:rPr>
                <w:bCs/>
              </w:rPr>
              <w:t>is</w:t>
            </w:r>
            <w:r w:rsidRPr="00985210">
              <w:rPr>
                <w:bCs/>
              </w:rPr>
              <w:t xml:space="preserve"> </w:t>
            </w:r>
            <w:r w:rsidR="00480717" w:rsidRPr="00985210">
              <w:rPr>
                <w:bCs/>
              </w:rPr>
              <w:t xml:space="preserve">qualification </w:t>
            </w:r>
            <w:r w:rsidR="00BE13B2" w:rsidRPr="00985210">
              <w:rPr>
                <w:bCs/>
              </w:rPr>
              <w:t xml:space="preserve">will provide the </w:t>
            </w:r>
            <w:r w:rsidR="009E048F" w:rsidRPr="00985210">
              <w:rPr>
                <w:bCs/>
              </w:rPr>
              <w:t xml:space="preserve">law </w:t>
            </w:r>
            <w:r w:rsidR="00437008" w:rsidRPr="00985210">
              <w:rPr>
                <w:bCs/>
              </w:rPr>
              <w:t>graduate</w:t>
            </w:r>
            <w:r w:rsidR="00BE13B2" w:rsidRPr="00985210">
              <w:rPr>
                <w:bCs/>
              </w:rPr>
              <w:t xml:space="preserve"> with </w:t>
            </w:r>
            <w:r w:rsidR="00F00D84" w:rsidRPr="00985210">
              <w:rPr>
                <w:bCs/>
              </w:rPr>
              <w:t xml:space="preserve">a range of </w:t>
            </w:r>
            <w:r w:rsidR="00360B5F" w:rsidRPr="00985210">
              <w:rPr>
                <w:bCs/>
              </w:rPr>
              <w:t>professional</w:t>
            </w:r>
            <w:r w:rsidR="001D6901" w:rsidRPr="00985210">
              <w:rPr>
                <w:bCs/>
              </w:rPr>
              <w:t xml:space="preserve"> </w:t>
            </w:r>
            <w:r w:rsidR="00CC2742" w:rsidRPr="00985210">
              <w:rPr>
                <w:bCs/>
              </w:rPr>
              <w:t xml:space="preserve">legal </w:t>
            </w:r>
            <w:r w:rsidR="001D6901" w:rsidRPr="00985210">
              <w:rPr>
                <w:bCs/>
              </w:rPr>
              <w:t>s</w:t>
            </w:r>
            <w:r w:rsidR="00BE13B2" w:rsidRPr="00985210">
              <w:rPr>
                <w:bCs/>
              </w:rPr>
              <w:t>kills</w:t>
            </w:r>
            <w:r w:rsidR="009A41D8" w:rsidRPr="00985210">
              <w:rPr>
                <w:bCs/>
              </w:rPr>
              <w:t xml:space="preserve"> that </w:t>
            </w:r>
            <w:r w:rsidR="00C408C6" w:rsidRPr="00985210">
              <w:rPr>
                <w:bCs/>
              </w:rPr>
              <w:t xml:space="preserve">will </w:t>
            </w:r>
            <w:proofErr w:type="gramStart"/>
            <w:r w:rsidR="00496846" w:rsidRPr="00985210">
              <w:rPr>
                <w:bCs/>
              </w:rPr>
              <w:t>e</w:t>
            </w:r>
            <w:r w:rsidR="000F41FC" w:rsidRPr="00985210">
              <w:rPr>
                <w:bCs/>
              </w:rPr>
              <w:t xml:space="preserve">quip </w:t>
            </w:r>
            <w:r w:rsidR="00496846" w:rsidRPr="00985210">
              <w:rPr>
                <w:bCs/>
              </w:rPr>
              <w:t xml:space="preserve"> the</w:t>
            </w:r>
            <w:proofErr w:type="gramEnd"/>
            <w:r w:rsidR="00496846" w:rsidRPr="00985210">
              <w:rPr>
                <w:bCs/>
              </w:rPr>
              <w:t xml:space="preserve"> graduate</w:t>
            </w:r>
            <w:r w:rsidR="00101332" w:rsidRPr="00985210">
              <w:rPr>
                <w:bCs/>
              </w:rPr>
              <w:t xml:space="preserve"> </w:t>
            </w:r>
            <w:r w:rsidR="00C408C6" w:rsidRPr="00985210">
              <w:rPr>
                <w:bCs/>
              </w:rPr>
              <w:t>to</w:t>
            </w:r>
            <w:r w:rsidR="00323A1A" w:rsidRPr="00985210">
              <w:rPr>
                <w:bCs/>
              </w:rPr>
              <w:t xml:space="preserve"> enter legal practice</w:t>
            </w:r>
            <w:r w:rsidR="00C408C6" w:rsidRPr="00985210">
              <w:rPr>
                <w:bCs/>
              </w:rPr>
              <w:t xml:space="preserve">. </w:t>
            </w:r>
            <w:r w:rsidR="00A20FD5" w:rsidRPr="00985210">
              <w:rPr>
                <w:bCs/>
              </w:rPr>
              <w:t>The qualification</w:t>
            </w:r>
            <w:r w:rsidR="00921FFE" w:rsidRPr="00985210">
              <w:rPr>
                <w:bCs/>
              </w:rPr>
              <w:t xml:space="preserve"> will provide the legal sector with graduates who have the professional skills required of a</w:t>
            </w:r>
            <w:r w:rsidR="00477F5D" w:rsidRPr="00985210">
              <w:rPr>
                <w:bCs/>
              </w:rPr>
              <w:t>n entry-level</w:t>
            </w:r>
            <w:r w:rsidR="00921FFE" w:rsidRPr="00985210">
              <w:rPr>
                <w:bCs/>
              </w:rPr>
              <w:t xml:space="preserve"> lawyer, as a practitioner and officer of the court. </w:t>
            </w:r>
          </w:p>
          <w:p w14:paraId="3DF1040E" w14:textId="6D545330" w:rsidR="00FF663E" w:rsidRPr="006B7B0D" w:rsidRDefault="00FF663E" w:rsidP="00985210">
            <w:pPr>
              <w:spacing w:before="120" w:after="120" w:line="240" w:lineRule="auto"/>
              <w:ind w:left="0"/>
            </w:pPr>
            <w:r w:rsidRPr="00985210">
              <w:rPr>
                <w:bCs/>
              </w:rPr>
              <w:t xml:space="preserve">Graduates of this qualification will </w:t>
            </w:r>
            <w:r w:rsidR="006F6C2C" w:rsidRPr="00985210">
              <w:rPr>
                <w:bCs/>
              </w:rPr>
              <w:t xml:space="preserve">need to meet the requirements for admission </w:t>
            </w:r>
            <w:r w:rsidR="00F33030" w:rsidRPr="00985210">
              <w:rPr>
                <w:bCs/>
              </w:rPr>
              <w:t xml:space="preserve">and practice </w:t>
            </w:r>
            <w:proofErr w:type="gramStart"/>
            <w:r w:rsidR="009A5D44" w:rsidRPr="00985210">
              <w:rPr>
                <w:bCs/>
              </w:rPr>
              <w:t>in order to</w:t>
            </w:r>
            <w:proofErr w:type="gramEnd"/>
            <w:r w:rsidR="009A5D44" w:rsidRPr="00985210">
              <w:rPr>
                <w:bCs/>
              </w:rPr>
              <w:t xml:space="preserve"> be</w:t>
            </w:r>
            <w:r w:rsidRPr="00985210">
              <w:rPr>
                <w:bCs/>
              </w:rPr>
              <w:t xml:space="preserve"> able to practice law in accordance with the Lawyers and Conveyancers Act 2006.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A51872">
        <w:trPr>
          <w:trHeight w:val="404"/>
          <w:jc w:val="center"/>
        </w:trPr>
        <w:tc>
          <w:tcPr>
            <w:tcW w:w="10172" w:type="dxa"/>
            <w:shd w:val="clear" w:color="auto" w:fill="FFFFFF"/>
          </w:tcPr>
          <w:p w14:paraId="564084AE" w14:textId="306BB5D2" w:rsidR="0037047F" w:rsidRPr="00985210" w:rsidRDefault="0037047F" w:rsidP="0037047F">
            <w:pPr>
              <w:spacing w:before="60" w:after="60" w:line="240" w:lineRule="auto"/>
              <w:ind w:left="0"/>
              <w:rPr>
                <w:bCs/>
              </w:rPr>
            </w:pPr>
            <w:r w:rsidRPr="00985210">
              <w:rPr>
                <w:bCs/>
              </w:rPr>
              <w:t>Graduates of this qualification will be able to:</w:t>
            </w:r>
            <w:r w:rsidR="00FE53C2" w:rsidRPr="00985210">
              <w:rPr>
                <w:bCs/>
              </w:rPr>
              <w:t xml:space="preserve"> </w:t>
            </w:r>
          </w:p>
          <w:p w14:paraId="7A4CDEB7" w14:textId="43B6876D" w:rsidR="00920854" w:rsidRPr="00985210" w:rsidRDefault="00920854" w:rsidP="0063314F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175" w:hanging="142"/>
              <w:rPr>
                <w:bCs/>
              </w:rPr>
            </w:pPr>
            <w:r w:rsidRPr="00985210">
              <w:rPr>
                <w:bCs/>
              </w:rPr>
              <w:t xml:space="preserve">Operate in </w:t>
            </w:r>
            <w:r w:rsidR="00B87F97" w:rsidRPr="00985210">
              <w:rPr>
                <w:bCs/>
              </w:rPr>
              <w:t xml:space="preserve">a </w:t>
            </w:r>
            <w:r w:rsidRPr="00985210">
              <w:rPr>
                <w:bCs/>
              </w:rPr>
              <w:t xml:space="preserve">manner which promotes professional, efficient, and ethical practice in a legal context.  </w:t>
            </w:r>
          </w:p>
          <w:p w14:paraId="74BC2543" w14:textId="143BA8E6" w:rsidR="00F00031" w:rsidRPr="00985210" w:rsidRDefault="00F00031" w:rsidP="0063314F">
            <w:pPr>
              <w:pStyle w:val="ListParagraph"/>
              <w:numPr>
                <w:ilvl w:val="0"/>
                <w:numId w:val="7"/>
              </w:numPr>
              <w:spacing w:before="60" w:after="60"/>
              <w:ind w:left="175" w:hanging="142"/>
              <w:rPr>
                <w:bCs/>
              </w:rPr>
            </w:pPr>
            <w:r w:rsidRPr="00985210">
              <w:rPr>
                <w:bCs/>
              </w:rPr>
              <w:t xml:space="preserve">Investigate, analyse, and evaluate </w:t>
            </w:r>
            <w:r w:rsidR="00374414" w:rsidRPr="00985210">
              <w:rPr>
                <w:bCs/>
              </w:rPr>
              <w:t xml:space="preserve">scenarios </w:t>
            </w:r>
            <w:r w:rsidRPr="00985210">
              <w:rPr>
                <w:bCs/>
              </w:rPr>
              <w:t>to identify</w:t>
            </w:r>
            <w:r w:rsidR="00260471" w:rsidRPr="00985210">
              <w:rPr>
                <w:bCs/>
              </w:rPr>
              <w:t xml:space="preserve"> and </w:t>
            </w:r>
            <w:r w:rsidRPr="00985210">
              <w:rPr>
                <w:bCs/>
              </w:rPr>
              <w:t>determine</w:t>
            </w:r>
            <w:r w:rsidR="00EE3B99" w:rsidRPr="00985210">
              <w:rPr>
                <w:bCs/>
              </w:rPr>
              <w:t xml:space="preserve"> issues, </w:t>
            </w:r>
            <w:r w:rsidRPr="00985210">
              <w:rPr>
                <w:bCs/>
              </w:rPr>
              <w:t>legal position</w:t>
            </w:r>
            <w:r w:rsidR="00EE3B99" w:rsidRPr="00985210">
              <w:rPr>
                <w:bCs/>
              </w:rPr>
              <w:t>,</w:t>
            </w:r>
            <w:r w:rsidRPr="00985210">
              <w:rPr>
                <w:bCs/>
              </w:rPr>
              <w:t xml:space="preserve"> and a range of legal and non-legal solutions. </w:t>
            </w:r>
          </w:p>
          <w:p w14:paraId="380CD369" w14:textId="13AB233A" w:rsidR="00F00031" w:rsidRPr="00985210" w:rsidRDefault="00F00031" w:rsidP="0063314F">
            <w:pPr>
              <w:pStyle w:val="ListParagraph"/>
              <w:numPr>
                <w:ilvl w:val="0"/>
                <w:numId w:val="7"/>
              </w:numPr>
              <w:spacing w:before="60" w:after="60"/>
              <w:ind w:left="175" w:hanging="142"/>
              <w:rPr>
                <w:bCs/>
                <w:sz w:val="22"/>
              </w:rPr>
            </w:pPr>
            <w:r w:rsidRPr="00985210">
              <w:rPr>
                <w:bCs/>
                <w:sz w:val="22"/>
              </w:rPr>
              <w:t xml:space="preserve">Apply technical writing and drafting skills to communicate clearly and effectively to a range of intended recipients in a </w:t>
            </w:r>
            <w:r w:rsidR="000B5CF3" w:rsidRPr="00985210">
              <w:rPr>
                <w:bCs/>
                <w:sz w:val="22"/>
              </w:rPr>
              <w:t xml:space="preserve">written </w:t>
            </w:r>
            <w:r w:rsidRPr="00985210">
              <w:rPr>
                <w:bCs/>
                <w:sz w:val="22"/>
              </w:rPr>
              <w:t xml:space="preserve">legal context. </w:t>
            </w:r>
          </w:p>
          <w:p w14:paraId="4EB48D28" w14:textId="44AA8676" w:rsidR="0063314F" w:rsidRPr="00985210" w:rsidRDefault="00ED3ED8" w:rsidP="0063314F">
            <w:pPr>
              <w:pStyle w:val="ListParagraph"/>
              <w:numPr>
                <w:ilvl w:val="0"/>
                <w:numId w:val="7"/>
              </w:numPr>
              <w:spacing w:before="60" w:after="60"/>
              <w:ind w:left="175" w:hanging="142"/>
              <w:rPr>
                <w:bCs/>
                <w:sz w:val="22"/>
              </w:rPr>
            </w:pPr>
            <w:r w:rsidRPr="00985210">
              <w:rPr>
                <w:bCs/>
                <w:sz w:val="22"/>
              </w:rPr>
              <w:t>Apply</w:t>
            </w:r>
            <w:r w:rsidRPr="00985210">
              <w:rPr>
                <w:rStyle w:val="cf01"/>
                <w:rFonts w:ascii="Arial" w:hAnsi="Arial" w:cs="Arial"/>
              </w:rPr>
              <w:t xml:space="preserve"> </w:t>
            </w:r>
            <w:r w:rsidRPr="00985210">
              <w:rPr>
                <w:bCs/>
                <w:sz w:val="22"/>
              </w:rPr>
              <w:t xml:space="preserve">mediation and negotiation techniques to assist parties to reach agreement in a legal </w:t>
            </w:r>
            <w:r w:rsidRPr="00985210">
              <w:rPr>
                <w:bCs/>
                <w:sz w:val="22"/>
              </w:rPr>
              <w:lastRenderedPageBreak/>
              <w:t>context</w:t>
            </w:r>
            <w:r w:rsidRPr="00985210">
              <w:rPr>
                <w:rStyle w:val="cf01"/>
                <w:rFonts w:ascii="Arial" w:hAnsi="Arial" w:cs="Arial"/>
              </w:rPr>
              <w:t>.</w:t>
            </w:r>
            <w:r w:rsidR="0063314F" w:rsidRPr="00985210">
              <w:rPr>
                <w:bCs/>
                <w:sz w:val="22"/>
              </w:rPr>
              <w:t xml:space="preserve">  </w:t>
            </w:r>
          </w:p>
          <w:p w14:paraId="56C38791" w14:textId="76090532" w:rsidR="00BD6A0F" w:rsidRPr="006B7B0D" w:rsidRDefault="005911E2" w:rsidP="00985210">
            <w:pPr>
              <w:pStyle w:val="ListParagraph"/>
              <w:numPr>
                <w:ilvl w:val="0"/>
                <w:numId w:val="7"/>
              </w:numPr>
              <w:spacing w:before="60" w:after="60"/>
              <w:ind w:left="175" w:hanging="142"/>
            </w:pPr>
            <w:r w:rsidRPr="00985210">
              <w:rPr>
                <w:bCs/>
                <w:sz w:val="22"/>
              </w:rPr>
              <w:t>Prepare, p</w:t>
            </w:r>
            <w:r w:rsidR="0063314F" w:rsidRPr="00985210">
              <w:rPr>
                <w:bCs/>
                <w:sz w:val="22"/>
              </w:rPr>
              <w:t>resent</w:t>
            </w:r>
            <w:r w:rsidR="00FC6ADA" w:rsidRPr="00985210">
              <w:rPr>
                <w:bCs/>
                <w:sz w:val="22"/>
              </w:rPr>
              <w:t>,</w:t>
            </w:r>
            <w:r w:rsidR="0063314F" w:rsidRPr="00985210">
              <w:rPr>
                <w:bCs/>
                <w:sz w:val="22"/>
              </w:rPr>
              <w:t xml:space="preserve"> and conduct a case in court professionally and effectively.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1BBD313" w14:textId="00D91147" w:rsidR="00BD6A0F" w:rsidRPr="00377637" w:rsidRDefault="00D57E4A" w:rsidP="00CB1BC9">
            <w:pPr>
              <w:keepNext/>
              <w:keepLines/>
              <w:spacing w:before="60" w:after="60"/>
              <w:ind w:left="0"/>
            </w:pPr>
            <w:r>
              <w:rPr>
                <w:bCs/>
              </w:rPr>
              <w:t>This qualification may lead on from a</w:t>
            </w:r>
            <w:r w:rsidR="007F64AB">
              <w:rPr>
                <w:bCs/>
              </w:rPr>
              <w:t>n approved</w:t>
            </w:r>
            <w:r>
              <w:rPr>
                <w:bCs/>
              </w:rPr>
              <w:t xml:space="preserve"> New Zealand Law Degree. This qualification may lead on to </w:t>
            </w:r>
            <w:r w:rsidRPr="00B076D5">
              <w:rPr>
                <w:bCs/>
              </w:rPr>
              <w:t>further studies in law.</w:t>
            </w:r>
            <w:r>
              <w:rPr>
                <w:bCs/>
              </w:rPr>
              <w:t xml:space="preserve"> 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1132F256">
        <w:trPr>
          <w:trHeight w:val="1701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6817B463" w:rsidR="00BD6A0F" w:rsidRPr="006B7B0D" w:rsidRDefault="00ED3928" w:rsidP="00B40BA8">
            <w:pPr>
              <w:spacing w:before="60" w:after="60"/>
              <w:ind w:left="0"/>
            </w:pPr>
            <w:r w:rsidRPr="00985210">
              <w:t>This qualification can lead to</w:t>
            </w:r>
            <w:r w:rsidR="00596338" w:rsidRPr="00985210">
              <w:t>wards</w:t>
            </w:r>
            <w:r w:rsidRPr="00985210">
              <w:t xml:space="preserve"> </w:t>
            </w:r>
            <w:r w:rsidR="004836F7" w:rsidRPr="00985210">
              <w:t xml:space="preserve">admission as </w:t>
            </w:r>
            <w:r w:rsidR="000D04B4" w:rsidRPr="00985210">
              <w:t xml:space="preserve">a </w:t>
            </w:r>
            <w:r w:rsidR="00E27B5E" w:rsidRPr="00985210">
              <w:t>b</w:t>
            </w:r>
            <w:r w:rsidR="0017345A" w:rsidRPr="00985210">
              <w:t xml:space="preserve">arrister and </w:t>
            </w:r>
            <w:r w:rsidR="00E27B5E" w:rsidRPr="00985210">
              <w:t>s</w:t>
            </w:r>
            <w:r w:rsidR="0017345A" w:rsidRPr="00985210">
              <w:t>olicitor</w:t>
            </w:r>
            <w:r w:rsidR="007E1144" w:rsidRPr="00985210">
              <w:t xml:space="preserve">, and employment </w:t>
            </w:r>
            <w:r w:rsidR="002E4C91" w:rsidRPr="00985210">
              <w:t xml:space="preserve">using </w:t>
            </w:r>
            <w:r w:rsidR="00034488" w:rsidRPr="00985210">
              <w:t xml:space="preserve">professional </w:t>
            </w:r>
            <w:r w:rsidR="002E4C91" w:rsidRPr="00985210">
              <w:t xml:space="preserve">legal skills. 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88A35A4" w14:textId="77777777" w:rsidR="00BD6A0F" w:rsidRDefault="006F476E" w:rsidP="006F476E">
            <w:pPr>
              <w:spacing w:before="0" w:after="0" w:line="240" w:lineRule="auto"/>
              <w:ind w:left="0"/>
            </w:pPr>
            <w:r w:rsidRPr="00985210">
              <w:t>This qualification may be awarded by any education organisation with an approved programme or accreditation to deliver an approved programme.</w:t>
            </w:r>
            <w:r w:rsidR="009F0CCC" w:rsidRPr="00985210">
              <w:t xml:space="preserve"> </w:t>
            </w:r>
          </w:p>
          <w:p w14:paraId="6E6E31B4" w14:textId="77777777" w:rsidR="001E2EC2" w:rsidRDefault="001E2EC2" w:rsidP="006F476E">
            <w:pPr>
              <w:spacing w:before="0" w:after="0" w:line="240" w:lineRule="auto"/>
              <w:ind w:left="0"/>
            </w:pPr>
          </w:p>
          <w:p w14:paraId="2316B39B" w14:textId="55C8F44E" w:rsidR="001E2EC2" w:rsidRPr="00985210" w:rsidRDefault="001E2EC2" w:rsidP="006F476E">
            <w:pPr>
              <w:spacing w:before="0" w:after="0" w:line="240" w:lineRule="auto"/>
              <w:ind w:left="0"/>
            </w:pPr>
            <w:r>
              <w:t xml:space="preserve">Providers </w:t>
            </w:r>
            <w:r w:rsidR="00D87119">
              <w:t>looking to deliver a programme</w:t>
            </w:r>
            <w:r>
              <w:t xml:space="preserve"> towards this qualification must first have approval and accreditation from the New Zealand Council of Legal Education</w:t>
            </w:r>
            <w:r>
              <w:t xml:space="preserve">. </w:t>
            </w:r>
          </w:p>
        </w:tc>
      </w:tr>
      <w:tr w:rsidR="00BD6A0F" w:rsidRPr="006B7B0D" w14:paraId="7A40E6DE" w14:textId="77777777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0702A94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</w:t>
            </w:r>
            <w:proofErr w:type="spellStart"/>
            <w:r w:rsidR="00673818">
              <w:t>i</w:t>
            </w:r>
            <w:proofErr w:type="spellEnd"/>
            <w:r w:rsidR="00673818">
              <w:t xml:space="preserve"> </w:t>
            </w:r>
            <w:proofErr w:type="spellStart"/>
            <w:r w:rsidR="00673818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7E4E58F" w14:textId="77777777" w:rsidR="002F43BC" w:rsidRPr="00985210" w:rsidRDefault="002F43BC" w:rsidP="002F43BC">
            <w:pPr>
              <w:spacing w:before="120" w:after="120" w:line="240" w:lineRule="auto"/>
              <w:ind w:left="10"/>
            </w:pPr>
            <w:r w:rsidRPr="00985210">
              <w:t>Evidence may include the following:</w:t>
            </w:r>
          </w:p>
          <w:p w14:paraId="4DA850C2" w14:textId="77777777" w:rsidR="00DB029F" w:rsidRPr="00985210" w:rsidRDefault="00DB029F" w:rsidP="00365C26">
            <w:pPr>
              <w:pStyle w:val="richtexteditorblock2vsd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analysis of employer and graduate surveys</w:t>
            </w:r>
          </w:p>
          <w:p w14:paraId="7CF73F84" w14:textId="1320AF59" w:rsidR="00BD6A0F" w:rsidRPr="00985210" w:rsidRDefault="00DB029F" w:rsidP="00365C26">
            <w:pPr>
              <w:pStyle w:val="richtexteditorblock2vsd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evidence of effective internal and external quality assurance systems. </w:t>
            </w:r>
          </w:p>
          <w:p w14:paraId="344C9D72" w14:textId="77777777" w:rsidR="00BD6A0F" w:rsidRPr="006F476E" w:rsidRDefault="00BD6A0F" w:rsidP="00DB029F">
            <w:pPr>
              <w:spacing w:before="60" w:after="60"/>
              <w:ind w:left="0" w:firstLine="580"/>
              <w:rPr>
                <w:rFonts w:ascii="Calibri" w:hAnsi="Calibri" w:cs="Calibri"/>
                <w:sz w:val="22"/>
              </w:rPr>
            </w:pPr>
          </w:p>
        </w:tc>
      </w:tr>
      <w:tr w:rsidR="00BD6A0F" w:rsidRPr="006B7B0D" w14:paraId="27D4ED92" w14:textId="77777777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07B5A6C2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</w:t>
            </w:r>
            <w:proofErr w:type="spellStart"/>
            <w:r w:rsidR="00673818">
              <w:t>i</w:t>
            </w:r>
            <w:proofErr w:type="spellEnd"/>
            <w:r w:rsidR="00673818">
              <w:t xml:space="preserve"> </w:t>
            </w:r>
            <w:proofErr w:type="spellStart"/>
            <w:r w:rsidR="00673818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57CE7E6D" w14:textId="5FE825EB" w:rsidR="00BD6A0F" w:rsidRPr="000E592B" w:rsidRDefault="0001107C" w:rsidP="00BD6A0F">
            <w:pPr>
              <w:spacing w:before="60" w:after="60"/>
              <w:ind w:left="0"/>
            </w:pPr>
            <w:r w:rsidRPr="00985210">
              <w:t xml:space="preserve">Achieved </w:t>
            </w:r>
          </w:p>
        </w:tc>
      </w:tr>
      <w:tr w:rsidR="00BD6A0F" w:rsidRPr="006B7B0D" w14:paraId="2E18A180" w14:textId="77777777" w:rsidTr="00985210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7770B5C1" w14:textId="46E68493" w:rsidR="001662DB" w:rsidRPr="00985210" w:rsidRDefault="000826B5" w:rsidP="00BD6A0F">
            <w:pPr>
              <w:spacing w:before="60" w:after="60"/>
              <w:ind w:left="0"/>
            </w:pPr>
            <w:r w:rsidRPr="00985210">
              <w:t>Legislation relevant to the achievement of the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85210">
              <w:t>outcomes of this qualification include</w:t>
            </w:r>
            <w:r w:rsidR="003D219B" w:rsidRPr="00985210">
              <w:t xml:space="preserve">: </w:t>
            </w:r>
          </w:p>
          <w:p w14:paraId="4327A7E9" w14:textId="3C9314A1" w:rsidR="00BD6A0F" w:rsidRPr="00985210" w:rsidRDefault="00943275" w:rsidP="003D219B">
            <w:pPr>
              <w:spacing w:before="0" w:after="0" w:line="240" w:lineRule="auto"/>
              <w:ind w:left="0"/>
            </w:pPr>
            <w:hyperlink r:id="rId11" w:history="1">
              <w:r w:rsidR="00650E08" w:rsidRPr="00985210">
                <w:rPr>
                  <w:rStyle w:val="Hyperlink"/>
                </w:rPr>
                <w:t>Lawyers and Conveyancers Act 2006</w:t>
              </w:r>
            </w:hyperlink>
            <w:r w:rsidR="00650E08" w:rsidRPr="00985210">
              <w:t xml:space="preserve"> </w:t>
            </w:r>
          </w:p>
          <w:p w14:paraId="4516E39C" w14:textId="6532681A" w:rsidR="004F0336" w:rsidRPr="00985210" w:rsidRDefault="00943275" w:rsidP="004F0336">
            <w:pPr>
              <w:spacing w:before="0" w:after="0" w:line="240" w:lineRule="auto"/>
              <w:ind w:left="0"/>
            </w:pPr>
            <w:hyperlink r:id="rId12" w:history="1">
              <w:r w:rsidR="004F0336" w:rsidRPr="00985210">
                <w:rPr>
                  <w:rStyle w:val="Hyperlink"/>
                </w:rPr>
                <w:t>Lawyers and Conveyan</w:t>
              </w:r>
              <w:r w:rsidR="001F208E" w:rsidRPr="00985210">
                <w:rPr>
                  <w:rStyle w:val="Hyperlink"/>
                </w:rPr>
                <w:t>cers Act (</w:t>
              </w:r>
              <w:r w:rsidR="00741893" w:rsidRPr="00985210">
                <w:rPr>
                  <w:rStyle w:val="Hyperlink"/>
                </w:rPr>
                <w:t xml:space="preserve">Lawyers: </w:t>
              </w:r>
              <w:r w:rsidR="004F0336" w:rsidRPr="00985210">
                <w:rPr>
                  <w:rStyle w:val="Hyperlink"/>
                </w:rPr>
                <w:t>Rules of Conduct and Client care</w:t>
              </w:r>
              <w:r w:rsidR="001F208E" w:rsidRPr="00985210">
                <w:rPr>
                  <w:rStyle w:val="Hyperlink"/>
                </w:rPr>
                <w:t>) Rules 2008</w:t>
              </w:r>
            </w:hyperlink>
            <w:r w:rsidR="004F0336" w:rsidRPr="00985210">
              <w:t xml:space="preserve"> </w:t>
            </w:r>
          </w:p>
          <w:p w14:paraId="71937A2E" w14:textId="6A534758" w:rsidR="00D46F7F" w:rsidRPr="00985210" w:rsidRDefault="00943275" w:rsidP="00D46F7F">
            <w:pPr>
              <w:spacing w:before="0" w:after="0" w:line="240" w:lineRule="auto"/>
              <w:ind w:left="0"/>
            </w:pPr>
            <w:hyperlink r:id="rId13" w:history="1">
              <w:r w:rsidR="00D46F7F" w:rsidRPr="00985210">
                <w:rPr>
                  <w:rStyle w:val="Hyperlink"/>
                </w:rPr>
                <w:t>Professional Examinations in Law Regulations 2008</w:t>
              </w:r>
            </w:hyperlink>
            <w:r w:rsidR="00D46F7F" w:rsidRPr="00985210">
              <w:t xml:space="preserve"> </w:t>
            </w:r>
          </w:p>
          <w:p w14:paraId="3021950A" w14:textId="2E95097A" w:rsidR="00410BCE" w:rsidRPr="00985210" w:rsidRDefault="00943275" w:rsidP="00410BCE">
            <w:pPr>
              <w:spacing w:before="0" w:after="0" w:line="240" w:lineRule="auto"/>
              <w:ind w:left="0"/>
              <w:rPr>
                <w:rStyle w:val="Hyperlink"/>
              </w:rPr>
            </w:pPr>
            <w:hyperlink r:id="rId14" w:history="1">
              <w:r w:rsidR="00410BCE" w:rsidRPr="00985210">
                <w:rPr>
                  <w:rStyle w:val="Hyperlink"/>
                </w:rPr>
                <w:t>Professional Legal Studies Course and Assessment Standards Regulations 2002</w:t>
              </w:r>
            </w:hyperlink>
          </w:p>
          <w:p w14:paraId="5E3D8429" w14:textId="64D1A79C" w:rsidR="00260471" w:rsidRPr="00985210" w:rsidRDefault="00943275" w:rsidP="00260471">
            <w:pPr>
              <w:spacing w:before="0" w:after="0" w:line="240" w:lineRule="auto"/>
              <w:ind w:left="0"/>
            </w:pPr>
            <w:hyperlink r:id="rId15" w:history="1">
              <w:r w:rsidR="00260471" w:rsidRPr="00985210">
                <w:rPr>
                  <w:rStyle w:val="Hyperlink"/>
                </w:rPr>
                <w:t>Professional Legal Studies Course Accreditation Regulations 2006</w:t>
              </w:r>
            </w:hyperlink>
          </w:p>
          <w:p w14:paraId="5FD399DC" w14:textId="3253BE4E" w:rsidR="00C37B0D" w:rsidRPr="00985210" w:rsidRDefault="00943275" w:rsidP="003D219B">
            <w:pPr>
              <w:spacing w:before="0" w:after="0" w:line="240" w:lineRule="auto"/>
              <w:ind w:left="0"/>
            </w:pPr>
            <w:hyperlink r:id="rId16" w:history="1">
              <w:r w:rsidR="00C37B0D" w:rsidRPr="00985210">
                <w:rPr>
                  <w:rStyle w:val="Hyperlink"/>
                </w:rPr>
                <w:t>Professional Legal Studies Course Regulations 2004</w:t>
              </w:r>
            </w:hyperlink>
            <w:r w:rsidR="00AB25C6" w:rsidRPr="00985210">
              <w:t>,</w:t>
            </w:r>
          </w:p>
          <w:p w14:paraId="1046FF75" w14:textId="684D9CD4" w:rsidR="00AB25C6" w:rsidRPr="00985210" w:rsidRDefault="00AB25C6" w:rsidP="003D219B">
            <w:pPr>
              <w:spacing w:before="0" w:after="0" w:line="240" w:lineRule="auto"/>
              <w:ind w:left="0"/>
            </w:pPr>
            <w:r w:rsidRPr="00985210">
              <w:t xml:space="preserve">and all subsequent amendments. </w:t>
            </w:r>
          </w:p>
          <w:p w14:paraId="7D132196" w14:textId="77777777" w:rsidR="0020701A" w:rsidRDefault="0020701A" w:rsidP="003D219B">
            <w:pPr>
              <w:spacing w:before="0" w:after="0" w:line="240" w:lineRule="auto"/>
              <w:ind w:left="0"/>
              <w:rPr>
                <w:rFonts w:ascii="Calibri" w:hAnsi="Calibri" w:cs="Calibri"/>
                <w:sz w:val="22"/>
              </w:rPr>
            </w:pPr>
          </w:p>
          <w:p w14:paraId="68EB834A" w14:textId="63617806" w:rsidR="00BD6A0F" w:rsidRPr="006B7B0D" w:rsidRDefault="00BD6A0F" w:rsidP="000C29DA">
            <w:pPr>
              <w:spacing w:before="0" w:after="0" w:line="240" w:lineRule="auto"/>
              <w:ind w:left="0"/>
            </w:pPr>
          </w:p>
        </w:tc>
      </w:tr>
      <w:tr w:rsidR="00BD6A0F" w:rsidRPr="006B7B0D" w14:paraId="5EB72FF7" w14:textId="77777777" w:rsidTr="00985210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514FED6B" w14:textId="6C171BDF" w:rsidR="00C30490" w:rsidRPr="00985210" w:rsidRDefault="006E300C" w:rsidP="00C30490">
            <w:pPr>
              <w:spacing w:before="0" w:after="0" w:line="240" w:lineRule="auto"/>
              <w:ind w:left="0"/>
            </w:pPr>
            <w:r w:rsidRPr="00985210">
              <w:t xml:space="preserve">Programmes must comply with </w:t>
            </w:r>
            <w:r w:rsidR="00C20CAE" w:rsidRPr="00985210">
              <w:t xml:space="preserve">the </w:t>
            </w:r>
            <w:r w:rsidR="0028461B" w:rsidRPr="00985210">
              <w:t xml:space="preserve">New Zealand Council of Legal Education Professional Legal Studies Course Regulations </w:t>
            </w:r>
            <w:r w:rsidR="0042205C" w:rsidRPr="00985210">
              <w:t>200</w:t>
            </w:r>
            <w:r w:rsidR="00F570E8" w:rsidRPr="00985210">
              <w:t>4</w:t>
            </w:r>
            <w:r w:rsidR="00ED5FA6">
              <w:t>,</w:t>
            </w:r>
            <w:r w:rsidR="005154DD" w:rsidRPr="00985210">
              <w:t xml:space="preserve"> </w:t>
            </w:r>
            <w:r w:rsidR="007A2FB0" w:rsidRPr="00985210">
              <w:t xml:space="preserve">Professional Legal Studies Course and Assessment </w:t>
            </w:r>
            <w:r w:rsidR="00F536DA" w:rsidRPr="00985210">
              <w:t xml:space="preserve">Standards </w:t>
            </w:r>
            <w:r w:rsidR="007A2FB0" w:rsidRPr="00985210">
              <w:t>Regulations 2002</w:t>
            </w:r>
            <w:r w:rsidR="00C30490" w:rsidRPr="00985210">
              <w:t xml:space="preserve">, </w:t>
            </w:r>
            <w:r w:rsidR="00ED5FA6">
              <w:t>Professional Legal Studies Course Accreditation Regulations 2006</w:t>
            </w:r>
            <w:r w:rsidR="00ED5FA6">
              <w:t xml:space="preserve">, </w:t>
            </w:r>
            <w:r w:rsidR="00C30490" w:rsidRPr="00985210">
              <w:t xml:space="preserve">and all subsequent amendments. </w:t>
            </w:r>
          </w:p>
          <w:p w14:paraId="78445534" w14:textId="77777777" w:rsidR="00117AE7" w:rsidRPr="00985210" w:rsidRDefault="00117AE7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</w:p>
          <w:p w14:paraId="3A0AFFFC" w14:textId="0C13FF27" w:rsidR="00066686" w:rsidRPr="00985210" w:rsidRDefault="005707A5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  <w:r w:rsidRPr="00985210">
              <w:t>P</w:t>
            </w:r>
            <w:r w:rsidR="00066686" w:rsidRPr="00985210">
              <w:t>rogramme entry</w:t>
            </w:r>
          </w:p>
          <w:p w14:paraId="5D573543" w14:textId="73B07E7A" w:rsidR="00066686" w:rsidRPr="00985210" w:rsidRDefault="00066686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  <w:r w:rsidRPr="00985210">
              <w:t xml:space="preserve">Applicants </w:t>
            </w:r>
            <w:r w:rsidR="00CB34DE" w:rsidRPr="00985210">
              <w:t>must</w:t>
            </w:r>
            <w:r w:rsidR="00F422A1">
              <w:t xml:space="preserve"> </w:t>
            </w:r>
            <w:r w:rsidR="00F422A1" w:rsidRPr="00985210">
              <w:t>meet the eligibility criteria determined by the New Zealand Council of Legal Education. Regulation 3(2) of the Professional Legal Studies Course Regulations 2004.</w:t>
            </w:r>
          </w:p>
          <w:p w14:paraId="3109A5CC" w14:textId="77777777" w:rsidR="00CB34DE" w:rsidRPr="00985210" w:rsidRDefault="00CB34DE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</w:p>
          <w:p w14:paraId="2AD3FE7C" w14:textId="0B344F43" w:rsidR="004717B7" w:rsidRPr="00985210" w:rsidRDefault="004717B7" w:rsidP="00C7181C">
            <w:pPr>
              <w:spacing w:before="0" w:after="0" w:line="240" w:lineRule="auto"/>
              <w:ind w:left="0"/>
            </w:pPr>
            <w:r w:rsidRPr="00985210">
              <w:rPr>
                <w:i/>
                <w:iCs/>
              </w:rPr>
              <w:t xml:space="preserve">Present, </w:t>
            </w:r>
            <w:r w:rsidR="002A7FF9" w:rsidRPr="00985210">
              <w:rPr>
                <w:i/>
                <w:iCs/>
              </w:rPr>
              <w:t>prepare, and conduct a case in court</w:t>
            </w:r>
            <w:r w:rsidR="002A7FF9" w:rsidRPr="00985210">
              <w:t xml:space="preserve"> may </w:t>
            </w:r>
            <w:r w:rsidR="00FE484A" w:rsidRPr="00985210">
              <w:t xml:space="preserve">only </w:t>
            </w:r>
            <w:r w:rsidR="002A7FF9" w:rsidRPr="00985210">
              <w:t>include advocacy in other fora</w:t>
            </w:r>
            <w:r w:rsidR="004D56D9" w:rsidRPr="00985210">
              <w:t xml:space="preserve"> and legal contexts </w:t>
            </w:r>
            <w:r w:rsidR="00D84D8F" w:rsidRPr="00985210">
              <w:rPr>
                <w:rStyle w:val="cf01"/>
                <w:rFonts w:ascii="Arial" w:hAnsi="Arial" w:cs="Arial"/>
                <w:sz w:val="21"/>
                <w:szCs w:val="21"/>
              </w:rPr>
              <w:t xml:space="preserve">if </w:t>
            </w:r>
            <w:r w:rsidR="00D84D8F" w:rsidRPr="00985210">
              <w:t>the regulated requirements</w:t>
            </w:r>
            <w:r w:rsidR="00D84D8F" w:rsidRPr="00985210">
              <w:rPr>
                <w:rStyle w:val="cf01"/>
                <w:rFonts w:ascii="Arial" w:hAnsi="Arial" w:cs="Arial"/>
                <w:sz w:val="21"/>
                <w:szCs w:val="21"/>
              </w:rPr>
              <w:t xml:space="preserve"> of </w:t>
            </w:r>
            <w:r w:rsidR="00D84D8F" w:rsidRPr="00985210">
              <w:t xml:space="preserve">advocacy skills as </w:t>
            </w:r>
            <w:r w:rsidR="00B8049A" w:rsidRPr="00985210">
              <w:t xml:space="preserve">defined and </w:t>
            </w:r>
            <w:r w:rsidR="00D84D8F" w:rsidRPr="00985210">
              <w:t>set out in the New Zealand Council Legal Studies Course and Assessment Standards Regulations 2002</w:t>
            </w:r>
            <w:r w:rsidR="00D84D8F" w:rsidRPr="00985210">
              <w:rPr>
                <w:rStyle w:val="cf01"/>
                <w:rFonts w:ascii="Arial" w:hAnsi="Arial" w:cs="Arial"/>
                <w:sz w:val="21"/>
                <w:szCs w:val="21"/>
              </w:rPr>
              <w:t>,</w:t>
            </w:r>
            <w:r w:rsidR="00D84D8F" w:rsidRPr="00985210">
              <w:t xml:space="preserve"> in</w:t>
            </w:r>
            <w:r w:rsidR="00D84D8F" w:rsidRPr="00985210">
              <w:rPr>
                <w:rStyle w:val="cf01"/>
                <w:rFonts w:ascii="Arial" w:hAnsi="Arial" w:cs="Arial"/>
                <w:sz w:val="21"/>
                <w:szCs w:val="21"/>
              </w:rPr>
              <w:t xml:space="preserve"> </w:t>
            </w:r>
            <w:r w:rsidR="006D7BBF" w:rsidRPr="00985210">
              <w:t xml:space="preserve">the </w:t>
            </w:r>
            <w:r w:rsidR="00123723" w:rsidRPr="00985210">
              <w:t xml:space="preserve">weighting </w:t>
            </w:r>
            <w:r w:rsidR="008A42F9" w:rsidRPr="00985210">
              <w:t>of de</w:t>
            </w:r>
            <w:r w:rsidR="005051DF" w:rsidRPr="00985210">
              <w:t>livery and assessment</w:t>
            </w:r>
            <w:r w:rsidR="00D84D8F" w:rsidRPr="00985210">
              <w:t xml:space="preserve"> of the advocacy part of the course, have been met in full. </w:t>
            </w:r>
          </w:p>
          <w:p w14:paraId="2EF63CDB" w14:textId="77777777" w:rsidR="00055179" w:rsidRPr="00985210" w:rsidRDefault="00055179" w:rsidP="00C7181C">
            <w:pPr>
              <w:spacing w:before="0" w:after="0" w:line="240" w:lineRule="auto"/>
              <w:ind w:left="0"/>
            </w:pPr>
          </w:p>
          <w:p w14:paraId="2A0897F1" w14:textId="4AA98177" w:rsidR="009D75F7" w:rsidRPr="00985210" w:rsidRDefault="009D75F7" w:rsidP="009D75F7">
            <w:pPr>
              <w:spacing w:before="0" w:after="0" w:line="240" w:lineRule="auto"/>
              <w:ind w:left="0"/>
            </w:pPr>
            <w:r w:rsidRPr="00985210">
              <w:rPr>
                <w:i/>
                <w:iCs/>
              </w:rPr>
              <w:t>Professionally</w:t>
            </w:r>
            <w:r w:rsidRPr="00985210">
              <w:t xml:space="preserve"> refers to requirements related to the legal profession which could include High Court </w:t>
            </w:r>
            <w:r w:rsidR="00F95F3D" w:rsidRPr="00985210">
              <w:t>R</w:t>
            </w:r>
            <w:r w:rsidRPr="00985210">
              <w:t xml:space="preserve">ules, and Lawyers and Conveyancers Act (Lawyers: Rules of Conduct and Client </w:t>
            </w:r>
            <w:r w:rsidR="00F95F3D" w:rsidRPr="00985210">
              <w:t>C</w:t>
            </w:r>
            <w:r w:rsidRPr="00985210">
              <w:t xml:space="preserve">are) Rules 2008, and all subsequent amendments. </w:t>
            </w:r>
          </w:p>
          <w:p w14:paraId="2A8D8C98" w14:textId="77777777" w:rsidR="009D75F7" w:rsidRPr="00985210" w:rsidRDefault="009D75F7" w:rsidP="00C7181C">
            <w:pPr>
              <w:spacing w:before="0" w:after="0" w:line="240" w:lineRule="auto"/>
              <w:ind w:left="0"/>
            </w:pPr>
          </w:p>
          <w:p w14:paraId="158C1532" w14:textId="1199B4D5" w:rsidR="00085778" w:rsidRPr="00985210" w:rsidRDefault="00085778" w:rsidP="00C7181C">
            <w:pPr>
              <w:spacing w:before="0" w:after="0" w:line="240" w:lineRule="auto"/>
              <w:ind w:left="0"/>
            </w:pPr>
            <w:r w:rsidRPr="00985210">
              <w:t xml:space="preserve">The professional legal skills must be taught in the context of specific legal transactions that are commonly </w:t>
            </w:r>
            <w:r w:rsidR="00725F16" w:rsidRPr="00985210">
              <w:t xml:space="preserve">required to be completed by </w:t>
            </w:r>
            <w:proofErr w:type="gramStart"/>
            <w:r w:rsidR="00725F16" w:rsidRPr="00985210">
              <w:t>newly-admitted</w:t>
            </w:r>
            <w:proofErr w:type="gramEnd"/>
            <w:r w:rsidR="00725F16" w:rsidRPr="00985210">
              <w:t xml:space="preserve"> lawyers as outlined in the New Zealand Council of </w:t>
            </w:r>
            <w:r w:rsidR="00645952" w:rsidRPr="00985210">
              <w:t xml:space="preserve">Legal Studies </w:t>
            </w:r>
            <w:r w:rsidR="00725F16" w:rsidRPr="00985210">
              <w:t>Professional Legal Studies Course and Assessment Standards Regulations 2002</w:t>
            </w:r>
            <w:r w:rsidR="00BC6388" w:rsidRPr="00985210">
              <w:t xml:space="preserve">. </w:t>
            </w:r>
          </w:p>
          <w:p w14:paraId="41C95B13" w14:textId="77777777" w:rsidR="004D5CF1" w:rsidRPr="00985210" w:rsidRDefault="004D5CF1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</w:p>
          <w:p w14:paraId="0894027C" w14:textId="2F20FC3D" w:rsidR="00B56DC2" w:rsidRPr="00985210" w:rsidRDefault="00B56DC2" w:rsidP="00B56DC2">
            <w:pPr>
              <w:widowControl/>
              <w:autoSpaceDE/>
              <w:autoSpaceDN/>
              <w:spacing w:before="0" w:after="0" w:line="240" w:lineRule="auto"/>
              <w:ind w:left="0" w:right="0"/>
              <w:rPr>
                <w:rFonts w:eastAsia="Times New Roman"/>
                <w:bCs/>
                <w:lang w:eastAsia="en-NZ"/>
              </w:rPr>
            </w:pPr>
            <w:r w:rsidRPr="00985210">
              <w:rPr>
                <w:rFonts w:eastAsia="Times New Roman"/>
                <w:bCs/>
                <w:lang w:eastAsia="en-NZ"/>
              </w:rPr>
              <w:t xml:space="preserve">Providers are advised to refer to the Ringa Hora Services Workforce Development Council </w:t>
            </w:r>
            <w:hyperlink r:id="rId17" w:history="1">
              <w:r w:rsidRPr="00985210">
                <w:rPr>
                  <w:rFonts w:eastAsia="Times New Roman"/>
                  <w:szCs w:val="24"/>
                  <w:lang w:eastAsia="en-NZ"/>
                </w:rPr>
                <w:t>Programme endorsement considerations</w:t>
              </w:r>
            </w:hyperlink>
            <w:r w:rsidRPr="00985210">
              <w:rPr>
                <w:rFonts w:eastAsia="Times New Roman"/>
                <w:bCs/>
                <w:lang w:eastAsia="en-NZ"/>
              </w:rPr>
              <w:t>:</w:t>
            </w:r>
          </w:p>
          <w:p w14:paraId="0E1BC057" w14:textId="77777777" w:rsidR="00B56DC2" w:rsidRPr="00985210" w:rsidRDefault="00B56DC2" w:rsidP="00B56DC2">
            <w:pPr>
              <w:widowControl/>
              <w:autoSpaceDE/>
              <w:autoSpaceDN/>
              <w:spacing w:before="0" w:after="0" w:line="240" w:lineRule="auto"/>
              <w:ind w:left="0" w:right="0"/>
            </w:pPr>
          </w:p>
          <w:p w14:paraId="3130115C" w14:textId="1F797446" w:rsidR="00B56DC2" w:rsidRPr="00985210" w:rsidRDefault="00B56DC2" w:rsidP="00B56DC2">
            <w:pPr>
              <w:pStyle w:val="richtexteditorblock2vsd"/>
              <w:numPr>
                <w:ilvl w:val="0"/>
                <w:numId w:val="1"/>
              </w:numPr>
              <w:spacing w:before="0" w:beforeAutospacing="0"/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Ngā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Whakamārama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 w:rsidR="000B5CF3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–</w:t>
            </w: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Programme content</w:t>
            </w:r>
          </w:p>
          <w:p w14:paraId="1C16C6BF" w14:textId="116E592E" w:rsidR="00B56DC2" w:rsidRPr="00985210" w:rsidRDefault="00B56DC2" w:rsidP="00B56DC2">
            <w:pPr>
              <w:pStyle w:val="richtexteditorblock2vsd"/>
              <w:numPr>
                <w:ilvl w:val="0"/>
                <w:numId w:val="1"/>
              </w:numPr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Mana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ōrite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mō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hunga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ako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 w:rsidR="000B5CF3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–</w:t>
            </w: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Equity for learners</w:t>
            </w:r>
          </w:p>
          <w:p w14:paraId="30D35C70" w14:textId="0A60EC24" w:rsidR="00B56DC2" w:rsidRPr="00985210" w:rsidRDefault="00B56DC2" w:rsidP="00B56DC2">
            <w:pPr>
              <w:pStyle w:val="richtexteditorblock2vsd"/>
              <w:numPr>
                <w:ilvl w:val="0"/>
                <w:numId w:val="1"/>
              </w:numPr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lastRenderedPageBreak/>
              <w:t>Torotoronga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me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kimi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whakaaro</w:t>
            </w:r>
            <w:proofErr w:type="spellEnd"/>
            <w:r w:rsidR="00802288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 w:rsidR="000B5CF3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–</w:t>
            </w: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Programme engagement and consultation</w:t>
            </w:r>
          </w:p>
          <w:p w14:paraId="378E005E" w14:textId="77777777" w:rsidR="00B56DC2" w:rsidRPr="00985210" w:rsidRDefault="00B56DC2" w:rsidP="00B56DC2">
            <w:pPr>
              <w:pStyle w:val="richtexteditorblock2vsd"/>
              <w:numPr>
                <w:ilvl w:val="0"/>
                <w:numId w:val="1"/>
              </w:numPr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Te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ao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Māori</w:t>
            </w:r>
          </w:p>
          <w:p w14:paraId="55BEBC50" w14:textId="434FD574" w:rsidR="00B56DC2" w:rsidRPr="00985210" w:rsidRDefault="00B56DC2">
            <w:pPr>
              <w:pStyle w:val="richtexteditorblock2vsd"/>
              <w:numPr>
                <w:ilvl w:val="0"/>
                <w:numId w:val="1"/>
              </w:numPr>
              <w:spacing w:before="60" w:after="60" w:afterAutospacing="0"/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Te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akoako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me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ngā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reo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o Te Moana-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nui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-a-Kiwa </w:t>
            </w:r>
            <w:r w:rsidR="000B5CF3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–</w:t>
            </w: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Pacific languages and learners</w:t>
            </w:r>
          </w:p>
          <w:p w14:paraId="115D0024" w14:textId="68BC9BB4" w:rsidR="00BD6A0F" w:rsidRPr="00985210" w:rsidRDefault="00B56DC2">
            <w:pPr>
              <w:pStyle w:val="richtexteditorblock2vsd"/>
              <w:numPr>
                <w:ilvl w:val="0"/>
                <w:numId w:val="1"/>
              </w:numPr>
              <w:spacing w:before="60" w:after="60" w:afterAutospacing="0"/>
              <w:ind w:left="307" w:hanging="307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Tangata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Whaikaha</w:t>
            </w:r>
            <w:proofErr w:type="spellEnd"/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  <w:r w:rsidR="000B5CF3"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>–</w:t>
            </w:r>
            <w:r w:rsidRPr="00985210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Disabled people</w:t>
            </w:r>
          </w:p>
          <w:p w14:paraId="31EFFC84" w14:textId="2B50110F" w:rsidR="00BD6A0F" w:rsidRPr="00985210" w:rsidRDefault="0097083F" w:rsidP="00985210">
            <w:pPr>
              <w:pStyle w:val="richtexteditorblock2vsd"/>
              <w:spacing w:before="60" w:after="60" w:afterAutospacing="0"/>
              <w:rPr>
                <w:rFonts w:ascii="Calibri" w:hAnsi="Calibri" w:cs="Calibri"/>
                <w:sz w:val="22"/>
              </w:rPr>
            </w:pPr>
            <w:r w:rsidRPr="00985210">
              <w:rPr>
                <w:rFonts w:ascii="Arial" w:hAnsi="Arial" w:cs="Arial"/>
                <w:bCs/>
                <w:sz w:val="21"/>
                <w:szCs w:val="21"/>
              </w:rPr>
              <w:t>Further information is available from NZQA on Programme approval and provider accreditation.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</w:tbl>
    <w:p w14:paraId="5139E71F" w14:textId="77777777" w:rsidR="005228E9" w:rsidRPr="006B7B0D" w:rsidRDefault="005228E9" w:rsidP="00BD6A0F"/>
    <w:p w14:paraId="1357D764" w14:textId="0BD08A23" w:rsidR="00BD6A0F" w:rsidRPr="00BD6A0F" w:rsidRDefault="00C0127F" w:rsidP="00C07F6D">
      <w:pPr>
        <w:keepNext/>
        <w:keepLines/>
        <w:spacing w:before="60" w:after="60"/>
        <w:ind w:left="0"/>
        <w:rPr>
          <w:b/>
          <w:bCs/>
        </w:rPr>
      </w:pPr>
      <w:r>
        <w:rPr>
          <w:b/>
          <w:bCs/>
        </w:rPr>
        <w:t>C</w:t>
      </w:r>
      <w:r w:rsidR="00BD6A0F" w:rsidRPr="006B7B0D">
        <w:rPr>
          <w:b/>
          <w:bCs/>
        </w:rPr>
        <w:t>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121"/>
        <w:gridCol w:w="2412"/>
        <w:gridCol w:w="3483"/>
      </w:tblGrid>
      <w:tr w:rsidR="00E754B4" w:rsidRPr="006B7B0D" w14:paraId="135E71D5" w14:textId="77777777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E754B4" w:rsidRPr="006B7B0D" w14:paraId="0FF9B405" w14:textId="77777777">
        <w:tc>
          <w:tcPr>
            <w:tcW w:w="555" w:type="dxa"/>
            <w:shd w:val="clear" w:color="auto" w:fill="auto"/>
          </w:tcPr>
          <w:p w14:paraId="2941B140" w14:textId="02EC9C5B" w:rsidR="00BD6A0F" w:rsidRPr="006B7B0D" w:rsidRDefault="006A0D51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3977F2F4" w14:textId="27E19AE6" w:rsidR="00761A25" w:rsidRPr="00412374" w:rsidRDefault="00050CDD" w:rsidP="00050CDD">
            <w:pPr>
              <w:keepNext/>
              <w:keepLines/>
              <w:spacing w:before="60" w:after="60"/>
              <w:ind w:left="0"/>
              <w:rPr>
                <w:i/>
                <w:iCs/>
              </w:rPr>
            </w:pPr>
            <w:r w:rsidRPr="00050CDD">
              <w:t xml:space="preserve">Operate in </w:t>
            </w:r>
            <w:r w:rsidR="00B87F97">
              <w:t xml:space="preserve">a </w:t>
            </w:r>
            <w:r w:rsidRPr="00050CDD">
              <w:t xml:space="preserve">manner which promotes professional, efficient, and ethical practice in a legal context.  </w:t>
            </w:r>
            <w:r w:rsidR="00D9692C" w:rsidRPr="00050CDD"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49B03D7A" w14:textId="770E3714" w:rsidR="008C3531" w:rsidRPr="006B7B0D" w:rsidRDefault="00AD25AC" w:rsidP="00C07F6D">
            <w:pPr>
              <w:keepNext/>
              <w:keepLines/>
              <w:spacing w:before="60" w:after="60"/>
              <w:ind w:left="0"/>
            </w:pPr>
            <w:r>
              <w:t>5</w:t>
            </w:r>
            <w:r w:rsidR="004C67E2">
              <w:t xml:space="preserve"> </w:t>
            </w:r>
            <w:r w:rsidR="00F64CE2">
              <w:t>credits</w:t>
            </w:r>
          </w:p>
        </w:tc>
        <w:tc>
          <w:tcPr>
            <w:tcW w:w="3653" w:type="dxa"/>
            <w:shd w:val="clear" w:color="auto" w:fill="auto"/>
          </w:tcPr>
          <w:p w14:paraId="09334C10" w14:textId="4237537A" w:rsidR="00010AFA" w:rsidRPr="006B7B0D" w:rsidRDefault="00010AFA" w:rsidP="00222960">
            <w:pPr>
              <w:pStyle w:val="TableParagraph"/>
              <w:tabs>
                <w:tab w:val="left" w:pos="846"/>
                <w:tab w:val="left" w:pos="847"/>
              </w:tabs>
              <w:spacing w:before="117" w:line="238" w:lineRule="exact"/>
              <w:ind w:left="410"/>
            </w:pPr>
          </w:p>
        </w:tc>
      </w:tr>
      <w:tr w:rsidR="00E754B4" w:rsidRPr="006B7B0D" w14:paraId="199319ED" w14:textId="77777777">
        <w:tc>
          <w:tcPr>
            <w:tcW w:w="555" w:type="dxa"/>
            <w:shd w:val="clear" w:color="auto" w:fill="auto"/>
          </w:tcPr>
          <w:p w14:paraId="797BCBC0" w14:textId="4A37047B" w:rsidR="00BD6A0F" w:rsidRPr="006B7B0D" w:rsidRDefault="006A0D51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679C4299" w14:textId="7B848023" w:rsidR="00A73F43" w:rsidRPr="00A73F43" w:rsidRDefault="00050CDD" w:rsidP="00050CDD">
            <w:pPr>
              <w:keepNext/>
              <w:keepLines/>
              <w:spacing w:before="60" w:after="60"/>
              <w:ind w:left="0"/>
              <w:rPr>
                <w:i/>
                <w:iCs/>
              </w:rPr>
            </w:pPr>
            <w:r w:rsidRPr="00050CDD">
              <w:t xml:space="preserve">Investigate, analyse, and evaluate </w:t>
            </w:r>
            <w:r w:rsidR="00A71B22">
              <w:t xml:space="preserve">scenarios </w:t>
            </w:r>
            <w:r w:rsidRPr="00050CDD">
              <w:t>to identify</w:t>
            </w:r>
            <w:r w:rsidR="005E0C33">
              <w:t xml:space="preserve"> and </w:t>
            </w:r>
            <w:r w:rsidRPr="00050CDD">
              <w:t xml:space="preserve">determine </w:t>
            </w:r>
            <w:r w:rsidR="00AD081C">
              <w:t xml:space="preserve">issues, </w:t>
            </w:r>
            <w:r w:rsidRPr="00050CDD">
              <w:t>legal position</w:t>
            </w:r>
            <w:r w:rsidR="00216422">
              <w:t>,</w:t>
            </w:r>
            <w:r w:rsidRPr="00050CDD">
              <w:t xml:space="preserve"> and a range of legal and non-legal solutions. </w:t>
            </w:r>
          </w:p>
        </w:tc>
        <w:tc>
          <w:tcPr>
            <w:tcW w:w="2442" w:type="dxa"/>
            <w:shd w:val="clear" w:color="auto" w:fill="auto"/>
          </w:tcPr>
          <w:p w14:paraId="70B3C8D6" w14:textId="42E20F3A" w:rsidR="00F407A4" w:rsidRPr="006B7B0D" w:rsidRDefault="00AD25AC" w:rsidP="00BD6A0F">
            <w:pPr>
              <w:spacing w:before="60" w:after="60"/>
              <w:ind w:left="0"/>
            </w:pPr>
            <w:r>
              <w:t>20</w:t>
            </w:r>
            <w:r w:rsidR="00F64CE2">
              <w:t xml:space="preserve"> credits </w:t>
            </w:r>
          </w:p>
        </w:tc>
        <w:tc>
          <w:tcPr>
            <w:tcW w:w="3653" w:type="dxa"/>
            <w:shd w:val="clear" w:color="auto" w:fill="auto"/>
          </w:tcPr>
          <w:p w14:paraId="3C2CB11B" w14:textId="48C4C56E" w:rsidR="003C24FD" w:rsidRPr="006B7B0D" w:rsidRDefault="003C24FD" w:rsidP="00352704">
            <w:pPr>
              <w:spacing w:before="60" w:after="60"/>
              <w:ind w:left="0"/>
            </w:pPr>
          </w:p>
        </w:tc>
      </w:tr>
      <w:tr w:rsidR="00E754B4" w:rsidRPr="006B7B0D" w14:paraId="1064FB45" w14:textId="77777777">
        <w:tc>
          <w:tcPr>
            <w:tcW w:w="555" w:type="dxa"/>
            <w:shd w:val="clear" w:color="auto" w:fill="auto"/>
          </w:tcPr>
          <w:p w14:paraId="3B5646A8" w14:textId="3BB3D015" w:rsidR="00BD6A0F" w:rsidRPr="006B7B0D" w:rsidRDefault="006A0D51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1C1185EF" w14:textId="3B71E373" w:rsidR="00761A25" w:rsidRPr="00761A25" w:rsidRDefault="0011197E" w:rsidP="00985210">
            <w:pPr>
              <w:spacing w:before="60" w:after="60"/>
              <w:ind w:left="0" w:right="667"/>
              <w:rPr>
                <w:i/>
                <w:iCs/>
              </w:rPr>
            </w:pPr>
            <w:r w:rsidRPr="0011197E">
              <w:t>Apply</w:t>
            </w:r>
            <w:r w:rsidR="00B337AC">
              <w:t xml:space="preserve"> </w:t>
            </w:r>
            <w:r w:rsidRPr="0011197E">
              <w:t>technical writing and drafting skills to communicate</w:t>
            </w:r>
            <w:r w:rsidR="00E44D9B">
              <w:t xml:space="preserve"> </w:t>
            </w:r>
            <w:r w:rsidRPr="0011197E">
              <w:t>clearly and effectively to a range of intended recipients in a</w:t>
            </w:r>
            <w:r w:rsidR="000B5CF3">
              <w:t xml:space="preserve"> written</w:t>
            </w:r>
            <w:r w:rsidRPr="0011197E">
              <w:t xml:space="preserve"> legal context. </w:t>
            </w:r>
          </w:p>
        </w:tc>
        <w:tc>
          <w:tcPr>
            <w:tcW w:w="2442" w:type="dxa"/>
            <w:shd w:val="clear" w:color="auto" w:fill="auto"/>
          </w:tcPr>
          <w:p w14:paraId="674BD29A" w14:textId="1BF16EDD" w:rsidR="00710870" w:rsidRPr="006B7B0D" w:rsidRDefault="00FC6ADA" w:rsidP="00AD25AC">
            <w:pPr>
              <w:spacing w:before="60" w:after="60"/>
              <w:ind w:left="0"/>
            </w:pPr>
            <w:r>
              <w:t>10</w:t>
            </w:r>
            <w:r w:rsidR="00F64CE2">
              <w:t xml:space="preserve"> credits </w:t>
            </w:r>
          </w:p>
        </w:tc>
        <w:tc>
          <w:tcPr>
            <w:tcW w:w="3653" w:type="dxa"/>
            <w:shd w:val="clear" w:color="auto" w:fill="auto"/>
          </w:tcPr>
          <w:p w14:paraId="62DB414C" w14:textId="204AE86B" w:rsidR="003C24FD" w:rsidRPr="006B7B0D" w:rsidRDefault="003C24FD" w:rsidP="00BD6A0F">
            <w:pPr>
              <w:spacing w:before="60" w:after="60"/>
              <w:ind w:left="0"/>
            </w:pPr>
            <w:r>
              <w:t xml:space="preserve"> </w:t>
            </w:r>
          </w:p>
        </w:tc>
      </w:tr>
      <w:tr w:rsidR="00E754B4" w:rsidRPr="006B7B0D" w14:paraId="128A26BB" w14:textId="77777777" w:rsidTr="00985210">
        <w:trPr>
          <w:trHeight w:val="1798"/>
        </w:trPr>
        <w:tc>
          <w:tcPr>
            <w:tcW w:w="555" w:type="dxa"/>
            <w:shd w:val="clear" w:color="auto" w:fill="auto"/>
          </w:tcPr>
          <w:p w14:paraId="4590424F" w14:textId="6D7B9AF1" w:rsidR="00222960" w:rsidRDefault="00222960" w:rsidP="00BD6A0F">
            <w:pPr>
              <w:spacing w:before="60" w:after="60"/>
              <w:ind w:left="0"/>
            </w:pPr>
            <w:r>
              <w:t xml:space="preserve">4 </w:t>
            </w:r>
          </w:p>
        </w:tc>
        <w:tc>
          <w:tcPr>
            <w:tcW w:w="3272" w:type="dxa"/>
            <w:shd w:val="clear" w:color="auto" w:fill="auto"/>
          </w:tcPr>
          <w:p w14:paraId="1647B726" w14:textId="59B7E152" w:rsidR="00592967" w:rsidRPr="00592967" w:rsidRDefault="00517A00" w:rsidP="00592967">
            <w:pPr>
              <w:spacing w:before="60" w:after="60"/>
              <w:ind w:left="0"/>
            </w:pPr>
            <w:r>
              <w:t>Apply mediation and negotiation techniques to assist parties to reach agreement in a legal context</w:t>
            </w:r>
            <w:r w:rsidR="00E60242">
              <w:t>.</w:t>
            </w:r>
          </w:p>
          <w:p w14:paraId="4A4C9B2D" w14:textId="77777777" w:rsidR="00222960" w:rsidRPr="00761A25" w:rsidRDefault="00222960" w:rsidP="00BD6A0F">
            <w:pPr>
              <w:spacing w:before="60" w:after="60"/>
              <w:ind w:left="0"/>
              <w:rPr>
                <w:i/>
                <w:iCs/>
              </w:rPr>
            </w:pPr>
          </w:p>
        </w:tc>
        <w:tc>
          <w:tcPr>
            <w:tcW w:w="2442" w:type="dxa"/>
            <w:shd w:val="clear" w:color="auto" w:fill="auto"/>
          </w:tcPr>
          <w:p w14:paraId="0D7324B5" w14:textId="52175AF6" w:rsidR="003A14C1" w:rsidRDefault="00AD25AC" w:rsidP="00BD6A0F">
            <w:pPr>
              <w:spacing w:before="60" w:after="60"/>
              <w:ind w:left="0"/>
            </w:pPr>
            <w:r>
              <w:t>5</w:t>
            </w:r>
            <w:r w:rsidR="00F64CE2">
              <w:t xml:space="preserve"> credits </w:t>
            </w:r>
          </w:p>
          <w:p w14:paraId="77E9FC50" w14:textId="5A0EDAF5" w:rsidR="003A14C1" w:rsidRPr="006B7B0D" w:rsidRDefault="003A14C1" w:rsidP="00BD6A0F">
            <w:pPr>
              <w:spacing w:before="60" w:after="60"/>
              <w:ind w:left="0"/>
            </w:pPr>
          </w:p>
        </w:tc>
        <w:tc>
          <w:tcPr>
            <w:tcW w:w="3653" w:type="dxa"/>
            <w:shd w:val="clear" w:color="auto" w:fill="auto"/>
          </w:tcPr>
          <w:p w14:paraId="668189A3" w14:textId="64FF7BD9" w:rsidR="003C24FD" w:rsidRPr="006B7B0D" w:rsidRDefault="003C24FD" w:rsidP="00352704">
            <w:pPr>
              <w:spacing w:before="60" w:after="60"/>
              <w:ind w:left="0"/>
            </w:pPr>
          </w:p>
        </w:tc>
      </w:tr>
      <w:tr w:rsidR="00E754B4" w:rsidRPr="006B7B0D" w14:paraId="656CD052" w14:textId="77777777">
        <w:tc>
          <w:tcPr>
            <w:tcW w:w="555" w:type="dxa"/>
            <w:shd w:val="clear" w:color="auto" w:fill="auto"/>
          </w:tcPr>
          <w:p w14:paraId="1FC7F52E" w14:textId="1A80C0D1" w:rsidR="00222960" w:rsidRDefault="00222960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272" w:type="dxa"/>
            <w:shd w:val="clear" w:color="auto" w:fill="auto"/>
          </w:tcPr>
          <w:p w14:paraId="5515B941" w14:textId="65096622" w:rsidR="00222960" w:rsidRPr="00761A25" w:rsidRDefault="00FC6ADA" w:rsidP="00592967">
            <w:pPr>
              <w:spacing w:before="60" w:after="60"/>
              <w:ind w:left="0"/>
              <w:rPr>
                <w:i/>
                <w:iCs/>
              </w:rPr>
            </w:pPr>
            <w:r>
              <w:t>Prepare, p</w:t>
            </w:r>
            <w:r w:rsidR="00592967" w:rsidRPr="00592967">
              <w:t>resent</w:t>
            </w:r>
            <w:r>
              <w:t>,</w:t>
            </w:r>
            <w:r w:rsidR="00592967" w:rsidRPr="00592967">
              <w:t xml:space="preserve"> and conduct a case in court professionally and effectively. </w:t>
            </w:r>
          </w:p>
        </w:tc>
        <w:tc>
          <w:tcPr>
            <w:tcW w:w="2442" w:type="dxa"/>
            <w:shd w:val="clear" w:color="auto" w:fill="auto"/>
          </w:tcPr>
          <w:p w14:paraId="3D70E0C2" w14:textId="37B248C6" w:rsidR="00B5459D" w:rsidRPr="006B7B0D" w:rsidRDefault="00AD25AC" w:rsidP="00BD6A0F">
            <w:pPr>
              <w:spacing w:before="60" w:after="60"/>
              <w:ind w:left="0"/>
            </w:pPr>
            <w:r>
              <w:t>10</w:t>
            </w:r>
            <w:r w:rsidR="00F64CE2">
              <w:t xml:space="preserve"> credits </w:t>
            </w:r>
          </w:p>
        </w:tc>
        <w:tc>
          <w:tcPr>
            <w:tcW w:w="3653" w:type="dxa"/>
            <w:shd w:val="clear" w:color="auto" w:fill="auto"/>
          </w:tcPr>
          <w:p w14:paraId="2E6B4CC4" w14:textId="35DB015F" w:rsidR="00222960" w:rsidRPr="006B7B0D" w:rsidRDefault="00222960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lastRenderedPageBreak/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27471E7E" w14:textId="01E2EF67" w:rsidR="00BD6A0F" w:rsidRPr="006B7B0D" w:rsidRDefault="00293A6C" w:rsidP="004E4FCB">
            <w:pPr>
              <w:spacing w:before="60" w:after="60"/>
              <w:ind w:left="0"/>
            </w:pPr>
            <w:r>
              <w:t>This qualification replace</w:t>
            </w:r>
            <w:r w:rsidR="00D54D48">
              <w:t>d</w:t>
            </w:r>
            <w:r>
              <w:t xml:space="preserve"> the </w:t>
            </w:r>
            <w:r w:rsidR="00546D87">
              <w:t>Professional Legal Studies Course (Training Sch</w:t>
            </w:r>
            <w:r w:rsidR="004E4FCB">
              <w:t>eme)</w:t>
            </w:r>
            <w:r w:rsidR="00903865">
              <w:t xml:space="preserve"> (Level 6)</w:t>
            </w:r>
            <w:r w:rsidR="00575DAD">
              <w:t xml:space="preserve"> and </w:t>
            </w:r>
            <w:r w:rsidR="00575DAD" w:rsidRPr="00985210">
              <w:t>Professional Legal Studies Course: Online (PLSCO)</w:t>
            </w:r>
            <w:r w:rsidR="00500C9A">
              <w:t xml:space="preserve"> </w:t>
            </w:r>
            <w:r w:rsidR="00575DAD" w:rsidRPr="00985210">
              <w:t>(Training Scheme) (</w:t>
            </w:r>
            <w:r w:rsidR="00E549F4">
              <w:t>L</w:t>
            </w:r>
            <w:r w:rsidR="00575DAD" w:rsidRPr="00985210">
              <w:t>evel 6)</w:t>
            </w:r>
            <w:r w:rsidR="00836C1D">
              <w:t>.</w:t>
            </w:r>
            <w:r w:rsidR="008444FA">
              <w:t xml:space="preserve"> </w:t>
            </w:r>
          </w:p>
        </w:tc>
      </w:tr>
      <w:tr w:rsidR="00BD6A0F" w:rsidRPr="006B7B0D" w14:paraId="290B297A" w14:textId="77777777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34A26B56" w:rsidR="00BD6A0F" w:rsidRPr="00985210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985210">
              <w:rPr>
                <w:b/>
                <w:bCs/>
              </w:rPr>
              <w:t>Version Information</w:t>
            </w:r>
          </w:p>
          <w:p w14:paraId="6437AD8D" w14:textId="641F394B" w:rsidR="00BD6A0F" w:rsidRDefault="009C6BC2" w:rsidP="00BD6A0F">
            <w:pPr>
              <w:spacing w:before="60" w:after="60"/>
              <w:ind w:left="0"/>
            </w:pPr>
            <w:r>
              <w:t xml:space="preserve">This is a new qualification. </w:t>
            </w:r>
            <w:r w:rsidR="00BD6A0F" w:rsidRPr="006B7B0D">
              <w:t xml:space="preserve">Please refer to </w:t>
            </w:r>
            <w:hyperlink r:id="rId18" w:history="1">
              <w:r w:rsidR="00BD6A0F"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="00BD6A0F" w:rsidRPr="006B7B0D">
              <w:t xml:space="preserve"> for further information</w:t>
            </w:r>
            <w:r>
              <w:t xml:space="preserve"> or contact the qualification developer at</w:t>
            </w:r>
            <w:r w:rsidR="00072CF5">
              <w:t>:</w:t>
            </w:r>
          </w:p>
          <w:p w14:paraId="185A0FD7" w14:textId="77777777" w:rsidR="00225BD9" w:rsidRPr="00225BD9" w:rsidRDefault="00225BD9" w:rsidP="00225BD9">
            <w:pPr>
              <w:spacing w:before="60" w:after="60"/>
              <w:ind w:left="0"/>
            </w:pPr>
            <w:r w:rsidRPr="00225BD9">
              <w:t>Ringa Hora Services Workforce Development Council</w:t>
            </w:r>
          </w:p>
          <w:p w14:paraId="521E779B" w14:textId="77777777" w:rsidR="00225BD9" w:rsidRPr="00225BD9" w:rsidRDefault="00225BD9" w:rsidP="00225BD9">
            <w:pPr>
              <w:spacing w:before="60" w:after="60"/>
              <w:ind w:left="0"/>
            </w:pPr>
            <w:r w:rsidRPr="00225BD9">
              <w:t>PO Box 445</w:t>
            </w:r>
          </w:p>
          <w:p w14:paraId="75DF609A" w14:textId="77777777" w:rsidR="00225BD9" w:rsidRPr="00225BD9" w:rsidRDefault="00225BD9" w:rsidP="00225BD9">
            <w:pPr>
              <w:spacing w:before="60" w:after="60"/>
              <w:ind w:left="0"/>
            </w:pPr>
            <w:r w:rsidRPr="00225BD9">
              <w:t>Wellington 6140</w:t>
            </w:r>
          </w:p>
          <w:p w14:paraId="1589F859" w14:textId="37554EC9" w:rsidR="00225BD9" w:rsidRPr="00225BD9" w:rsidRDefault="00225BD9" w:rsidP="00225BD9">
            <w:pPr>
              <w:spacing w:before="60" w:after="60"/>
              <w:ind w:left="0"/>
            </w:pPr>
          </w:p>
          <w:p w14:paraId="6909204F" w14:textId="77777777" w:rsidR="00225BD9" w:rsidRPr="00225BD9" w:rsidRDefault="00225BD9" w:rsidP="00225BD9">
            <w:pPr>
              <w:spacing w:before="60" w:after="60"/>
              <w:ind w:left="0"/>
            </w:pPr>
            <w:r w:rsidRPr="00225BD9">
              <w:t>Phone: 04 909 0306</w:t>
            </w:r>
          </w:p>
          <w:p w14:paraId="1E295676" w14:textId="77777777" w:rsidR="00225BD9" w:rsidRPr="00225BD9" w:rsidRDefault="00225BD9" w:rsidP="00225BD9">
            <w:pPr>
              <w:spacing w:before="60" w:after="60"/>
              <w:ind w:left="0"/>
            </w:pPr>
            <w:r w:rsidRPr="00225BD9">
              <w:t xml:space="preserve">Web: </w:t>
            </w:r>
            <w:hyperlink r:id="rId19" w:history="1">
              <w:r w:rsidRPr="00225BD9">
                <w:rPr>
                  <w:rStyle w:val="Hyperlink"/>
                </w:rPr>
                <w:t>https://www.ringahora.nz/</w:t>
              </w:r>
            </w:hyperlink>
          </w:p>
          <w:p w14:paraId="32E6A597" w14:textId="10A36277" w:rsidR="00225BD9" w:rsidRPr="00225BD9" w:rsidRDefault="00225BD9" w:rsidP="00225BD9">
            <w:pPr>
              <w:spacing w:before="60" w:after="60"/>
              <w:ind w:left="0"/>
            </w:pPr>
            <w:r w:rsidRPr="00225BD9">
              <w:t xml:space="preserve">Email </w:t>
            </w:r>
            <w:hyperlink r:id="rId20" w:history="1">
              <w:r w:rsidR="00F75184" w:rsidRPr="00F14324">
                <w:rPr>
                  <w:rStyle w:val="Hyperlink"/>
                </w:rPr>
                <w:t>Qualifications@ringahora.nz</w:t>
              </w:r>
            </w:hyperlink>
          </w:p>
          <w:p w14:paraId="3F57DECD" w14:textId="5547946A" w:rsidR="00072CF5" w:rsidRPr="006B7B0D" w:rsidRDefault="00072CF5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30E4" w14:textId="77777777" w:rsidR="00BF786C" w:rsidRDefault="00BF786C" w:rsidP="00C07F6D">
      <w:pPr>
        <w:spacing w:before="0" w:after="0" w:line="240" w:lineRule="auto"/>
      </w:pPr>
      <w:r>
        <w:separator/>
      </w:r>
    </w:p>
  </w:endnote>
  <w:endnote w:type="continuationSeparator" w:id="0">
    <w:p w14:paraId="783FA265" w14:textId="77777777" w:rsidR="00BF786C" w:rsidRDefault="00BF786C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60A83588" w14:textId="77777777" w:rsidR="00BF786C" w:rsidRDefault="00BF78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6B9" w14:textId="77777777" w:rsidR="005006E5" w:rsidRDefault="00500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E74" w14:textId="77777777" w:rsidR="005006E5" w:rsidRDefault="00500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2DA6" w14:textId="77777777" w:rsidR="005006E5" w:rsidRDefault="0050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58D1" w14:textId="77777777" w:rsidR="00BF786C" w:rsidRDefault="00BF786C" w:rsidP="00C07F6D">
      <w:pPr>
        <w:spacing w:before="0" w:after="0" w:line="240" w:lineRule="auto"/>
      </w:pPr>
      <w:r>
        <w:separator/>
      </w:r>
    </w:p>
  </w:footnote>
  <w:footnote w:type="continuationSeparator" w:id="0">
    <w:p w14:paraId="3FE91354" w14:textId="77777777" w:rsidR="00BF786C" w:rsidRDefault="00BF786C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2877CA4D" w14:textId="77777777" w:rsidR="00BF786C" w:rsidRDefault="00BF786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6EA9" w14:textId="40AF1B45" w:rsidR="005006E5" w:rsidRDefault="00943275">
    <w:pPr>
      <w:pStyle w:val="Header"/>
    </w:pPr>
    <w:r>
      <w:rPr>
        <w:noProof/>
      </w:rPr>
      <w:pict w14:anchorId="3B943B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50063" o:spid="_x0000_s1027" type="#_x0000_t136" style="position:absolute;left:0;text-align:left;margin-left:0;margin-top:0;width:562.95pt;height:18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793A" w14:textId="1E6BABA3" w:rsidR="005006E5" w:rsidRDefault="00943275">
    <w:pPr>
      <w:pStyle w:val="Header"/>
    </w:pPr>
    <w:r>
      <w:rPr>
        <w:noProof/>
      </w:rPr>
      <w:pict w14:anchorId="76330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50064" o:spid="_x0000_s1028" type="#_x0000_t136" style="position:absolute;left:0;text-align:left;margin-left:0;margin-top:0;width:562.95pt;height:18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857D" w14:textId="6410C4BA" w:rsidR="00C07F6D" w:rsidRDefault="00943275">
    <w:pPr>
      <w:pStyle w:val="Header"/>
    </w:pPr>
    <w:r>
      <w:rPr>
        <w:noProof/>
      </w:rPr>
      <w:pict w14:anchorId="76E256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50062" o:spid="_x0000_s1026" type="#_x0000_t136" style="position:absolute;left:0;text-align:left;margin-left:0;margin-top:0;width:562.95pt;height:18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D9D"/>
    <w:multiLevelType w:val="multilevel"/>
    <w:tmpl w:val="C87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1617"/>
    <w:multiLevelType w:val="hybridMultilevel"/>
    <w:tmpl w:val="16B69A6A"/>
    <w:lvl w:ilvl="0" w:tplc="407A0CF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B654520"/>
    <w:multiLevelType w:val="hybridMultilevel"/>
    <w:tmpl w:val="6102F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28DB"/>
    <w:multiLevelType w:val="hybridMultilevel"/>
    <w:tmpl w:val="D098FB72"/>
    <w:lvl w:ilvl="0" w:tplc="3CC0FDB6">
      <w:start w:val="5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B6468"/>
    <w:multiLevelType w:val="hybridMultilevel"/>
    <w:tmpl w:val="72E8C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7065"/>
    <w:multiLevelType w:val="hybridMultilevel"/>
    <w:tmpl w:val="2898C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B495C"/>
    <w:multiLevelType w:val="multilevel"/>
    <w:tmpl w:val="080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460422">
    <w:abstractNumId w:val="0"/>
  </w:num>
  <w:num w:numId="2" w16cid:durableId="1101031584">
    <w:abstractNumId w:val="6"/>
  </w:num>
  <w:num w:numId="3" w16cid:durableId="171459947">
    <w:abstractNumId w:val="5"/>
  </w:num>
  <w:num w:numId="4" w16cid:durableId="150410621">
    <w:abstractNumId w:val="2"/>
  </w:num>
  <w:num w:numId="5" w16cid:durableId="673803803">
    <w:abstractNumId w:val="1"/>
  </w:num>
  <w:num w:numId="6" w16cid:durableId="1875917814">
    <w:abstractNumId w:val="4"/>
  </w:num>
  <w:num w:numId="7" w16cid:durableId="39342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46C"/>
    <w:rsid w:val="00002EC4"/>
    <w:rsid w:val="0000503F"/>
    <w:rsid w:val="00006936"/>
    <w:rsid w:val="00006FD8"/>
    <w:rsid w:val="00010AFA"/>
    <w:rsid w:val="0001107C"/>
    <w:rsid w:val="00016807"/>
    <w:rsid w:val="00020BDF"/>
    <w:rsid w:val="00024DF3"/>
    <w:rsid w:val="00025B15"/>
    <w:rsid w:val="00026681"/>
    <w:rsid w:val="00026CA0"/>
    <w:rsid w:val="00032400"/>
    <w:rsid w:val="00034488"/>
    <w:rsid w:val="0003463A"/>
    <w:rsid w:val="00035295"/>
    <w:rsid w:val="0005012F"/>
    <w:rsid w:val="00050CDD"/>
    <w:rsid w:val="00055179"/>
    <w:rsid w:val="00056BC5"/>
    <w:rsid w:val="00060360"/>
    <w:rsid w:val="0006087B"/>
    <w:rsid w:val="00063847"/>
    <w:rsid w:val="00066686"/>
    <w:rsid w:val="00072CF5"/>
    <w:rsid w:val="000736F9"/>
    <w:rsid w:val="000739AB"/>
    <w:rsid w:val="000806D5"/>
    <w:rsid w:val="00081734"/>
    <w:rsid w:val="000826B5"/>
    <w:rsid w:val="00085778"/>
    <w:rsid w:val="00086AB1"/>
    <w:rsid w:val="00087881"/>
    <w:rsid w:val="00090F40"/>
    <w:rsid w:val="00092674"/>
    <w:rsid w:val="000A2735"/>
    <w:rsid w:val="000A57FD"/>
    <w:rsid w:val="000A58F9"/>
    <w:rsid w:val="000A638B"/>
    <w:rsid w:val="000B4526"/>
    <w:rsid w:val="000B5CF3"/>
    <w:rsid w:val="000C29DA"/>
    <w:rsid w:val="000C5C41"/>
    <w:rsid w:val="000C6602"/>
    <w:rsid w:val="000D04B4"/>
    <w:rsid w:val="000D7213"/>
    <w:rsid w:val="000E0BCF"/>
    <w:rsid w:val="000E118E"/>
    <w:rsid w:val="000E23AF"/>
    <w:rsid w:val="000E35F7"/>
    <w:rsid w:val="000E592B"/>
    <w:rsid w:val="000F182B"/>
    <w:rsid w:val="000F2097"/>
    <w:rsid w:val="000F3D1E"/>
    <w:rsid w:val="000F41FC"/>
    <w:rsid w:val="000F577A"/>
    <w:rsid w:val="00101332"/>
    <w:rsid w:val="00101B2B"/>
    <w:rsid w:val="001067C7"/>
    <w:rsid w:val="001102C5"/>
    <w:rsid w:val="0011197E"/>
    <w:rsid w:val="00114D95"/>
    <w:rsid w:val="00117AE7"/>
    <w:rsid w:val="00120E28"/>
    <w:rsid w:val="001229B3"/>
    <w:rsid w:val="00123723"/>
    <w:rsid w:val="00130DD5"/>
    <w:rsid w:val="00133CCB"/>
    <w:rsid w:val="00134407"/>
    <w:rsid w:val="00135E25"/>
    <w:rsid w:val="00145479"/>
    <w:rsid w:val="00145A16"/>
    <w:rsid w:val="00147DA4"/>
    <w:rsid w:val="00151027"/>
    <w:rsid w:val="0015750B"/>
    <w:rsid w:val="00157C48"/>
    <w:rsid w:val="001662DB"/>
    <w:rsid w:val="001672CA"/>
    <w:rsid w:val="0017345A"/>
    <w:rsid w:val="0018106E"/>
    <w:rsid w:val="00190204"/>
    <w:rsid w:val="00194302"/>
    <w:rsid w:val="0019604A"/>
    <w:rsid w:val="001A52DE"/>
    <w:rsid w:val="001B6BBF"/>
    <w:rsid w:val="001C084B"/>
    <w:rsid w:val="001C5BAE"/>
    <w:rsid w:val="001C6820"/>
    <w:rsid w:val="001D1C1A"/>
    <w:rsid w:val="001D1E37"/>
    <w:rsid w:val="001D648D"/>
    <w:rsid w:val="001D6901"/>
    <w:rsid w:val="001E2EC2"/>
    <w:rsid w:val="001F208E"/>
    <w:rsid w:val="00204852"/>
    <w:rsid w:val="0020701A"/>
    <w:rsid w:val="00212263"/>
    <w:rsid w:val="002133E4"/>
    <w:rsid w:val="00216422"/>
    <w:rsid w:val="00216C14"/>
    <w:rsid w:val="00222960"/>
    <w:rsid w:val="00224A9E"/>
    <w:rsid w:val="00225BD9"/>
    <w:rsid w:val="00227710"/>
    <w:rsid w:val="00234CC4"/>
    <w:rsid w:val="00235AB1"/>
    <w:rsid w:val="00260471"/>
    <w:rsid w:val="00281CA4"/>
    <w:rsid w:val="00284029"/>
    <w:rsid w:val="0028461B"/>
    <w:rsid w:val="00293A6C"/>
    <w:rsid w:val="002951E9"/>
    <w:rsid w:val="002970A9"/>
    <w:rsid w:val="002A04CE"/>
    <w:rsid w:val="002A14D7"/>
    <w:rsid w:val="002A3E2D"/>
    <w:rsid w:val="002A7FF9"/>
    <w:rsid w:val="002C1814"/>
    <w:rsid w:val="002C4E02"/>
    <w:rsid w:val="002D078D"/>
    <w:rsid w:val="002D38D5"/>
    <w:rsid w:val="002D3C45"/>
    <w:rsid w:val="002D5726"/>
    <w:rsid w:val="002E4C91"/>
    <w:rsid w:val="002F1B9C"/>
    <w:rsid w:val="002F43BC"/>
    <w:rsid w:val="0031598C"/>
    <w:rsid w:val="0031614F"/>
    <w:rsid w:val="00316E00"/>
    <w:rsid w:val="00323A1A"/>
    <w:rsid w:val="0033098E"/>
    <w:rsid w:val="003318F3"/>
    <w:rsid w:val="003346A0"/>
    <w:rsid w:val="003423FE"/>
    <w:rsid w:val="003510A2"/>
    <w:rsid w:val="00352704"/>
    <w:rsid w:val="00357382"/>
    <w:rsid w:val="00360B5F"/>
    <w:rsid w:val="00365C26"/>
    <w:rsid w:val="0036643F"/>
    <w:rsid w:val="0036737A"/>
    <w:rsid w:val="0037047F"/>
    <w:rsid w:val="00371C5B"/>
    <w:rsid w:val="00374414"/>
    <w:rsid w:val="00377637"/>
    <w:rsid w:val="00377962"/>
    <w:rsid w:val="00384395"/>
    <w:rsid w:val="00391D13"/>
    <w:rsid w:val="003929D8"/>
    <w:rsid w:val="003952D4"/>
    <w:rsid w:val="003963D6"/>
    <w:rsid w:val="003A14C1"/>
    <w:rsid w:val="003B006F"/>
    <w:rsid w:val="003B0CA1"/>
    <w:rsid w:val="003B18F9"/>
    <w:rsid w:val="003B1F4E"/>
    <w:rsid w:val="003B7471"/>
    <w:rsid w:val="003C24FD"/>
    <w:rsid w:val="003C3722"/>
    <w:rsid w:val="003C3A8B"/>
    <w:rsid w:val="003C7E97"/>
    <w:rsid w:val="003D219B"/>
    <w:rsid w:val="003E34F3"/>
    <w:rsid w:val="003E61C0"/>
    <w:rsid w:val="004001FE"/>
    <w:rsid w:val="00410BCE"/>
    <w:rsid w:val="00410F00"/>
    <w:rsid w:val="00412374"/>
    <w:rsid w:val="0041365C"/>
    <w:rsid w:val="0042009A"/>
    <w:rsid w:val="0042205C"/>
    <w:rsid w:val="0042300B"/>
    <w:rsid w:val="00424BD2"/>
    <w:rsid w:val="0043361F"/>
    <w:rsid w:val="00434B15"/>
    <w:rsid w:val="00437008"/>
    <w:rsid w:val="004412EF"/>
    <w:rsid w:val="00443DDD"/>
    <w:rsid w:val="004528B9"/>
    <w:rsid w:val="004603E5"/>
    <w:rsid w:val="00461594"/>
    <w:rsid w:val="0046381E"/>
    <w:rsid w:val="00467571"/>
    <w:rsid w:val="00467CCC"/>
    <w:rsid w:val="004717B7"/>
    <w:rsid w:val="0047352F"/>
    <w:rsid w:val="00473CAE"/>
    <w:rsid w:val="004762AB"/>
    <w:rsid w:val="00477F5D"/>
    <w:rsid w:val="00480717"/>
    <w:rsid w:val="004836F7"/>
    <w:rsid w:val="00484DC4"/>
    <w:rsid w:val="00491E0E"/>
    <w:rsid w:val="0049274C"/>
    <w:rsid w:val="00493057"/>
    <w:rsid w:val="00495D57"/>
    <w:rsid w:val="00496846"/>
    <w:rsid w:val="00497CBF"/>
    <w:rsid w:val="004A2EA6"/>
    <w:rsid w:val="004A6857"/>
    <w:rsid w:val="004A7455"/>
    <w:rsid w:val="004B2FC4"/>
    <w:rsid w:val="004B63E4"/>
    <w:rsid w:val="004C67E2"/>
    <w:rsid w:val="004C753E"/>
    <w:rsid w:val="004D56D9"/>
    <w:rsid w:val="004D5CF1"/>
    <w:rsid w:val="004E4FCB"/>
    <w:rsid w:val="004E6CDC"/>
    <w:rsid w:val="004E773C"/>
    <w:rsid w:val="004F0336"/>
    <w:rsid w:val="004F0357"/>
    <w:rsid w:val="005006A9"/>
    <w:rsid w:val="005006E5"/>
    <w:rsid w:val="00500C9A"/>
    <w:rsid w:val="00501727"/>
    <w:rsid w:val="005051DF"/>
    <w:rsid w:val="00511474"/>
    <w:rsid w:val="005154DD"/>
    <w:rsid w:val="00517A00"/>
    <w:rsid w:val="005228E9"/>
    <w:rsid w:val="00525608"/>
    <w:rsid w:val="00526A4A"/>
    <w:rsid w:val="00527C52"/>
    <w:rsid w:val="005301EF"/>
    <w:rsid w:val="0054689C"/>
    <w:rsid w:val="00546D87"/>
    <w:rsid w:val="00555C97"/>
    <w:rsid w:val="005604D2"/>
    <w:rsid w:val="00564DA5"/>
    <w:rsid w:val="005707A5"/>
    <w:rsid w:val="005734C4"/>
    <w:rsid w:val="00575DAD"/>
    <w:rsid w:val="00590F7E"/>
    <w:rsid w:val="005911E2"/>
    <w:rsid w:val="00592967"/>
    <w:rsid w:val="00596338"/>
    <w:rsid w:val="00596EC8"/>
    <w:rsid w:val="00597C0C"/>
    <w:rsid w:val="005A0961"/>
    <w:rsid w:val="005A0B62"/>
    <w:rsid w:val="005A13F6"/>
    <w:rsid w:val="005A30D9"/>
    <w:rsid w:val="005A3193"/>
    <w:rsid w:val="005A3D35"/>
    <w:rsid w:val="005A42E3"/>
    <w:rsid w:val="005B6D48"/>
    <w:rsid w:val="005C213D"/>
    <w:rsid w:val="005C567B"/>
    <w:rsid w:val="005D3C4F"/>
    <w:rsid w:val="005E0C33"/>
    <w:rsid w:val="005E4B3C"/>
    <w:rsid w:val="005E6749"/>
    <w:rsid w:val="005F1470"/>
    <w:rsid w:val="005F465D"/>
    <w:rsid w:val="005F7DC3"/>
    <w:rsid w:val="005F7F6D"/>
    <w:rsid w:val="006011E8"/>
    <w:rsid w:val="00604810"/>
    <w:rsid w:val="0060632C"/>
    <w:rsid w:val="00621FAE"/>
    <w:rsid w:val="0063314F"/>
    <w:rsid w:val="00645952"/>
    <w:rsid w:val="00650E08"/>
    <w:rsid w:val="006549A5"/>
    <w:rsid w:val="0065596C"/>
    <w:rsid w:val="0065673D"/>
    <w:rsid w:val="00656A46"/>
    <w:rsid w:val="00660424"/>
    <w:rsid w:val="006635B8"/>
    <w:rsid w:val="00665C66"/>
    <w:rsid w:val="00670396"/>
    <w:rsid w:val="00671A7E"/>
    <w:rsid w:val="006733E7"/>
    <w:rsid w:val="00673818"/>
    <w:rsid w:val="006768B4"/>
    <w:rsid w:val="00681110"/>
    <w:rsid w:val="006A0D51"/>
    <w:rsid w:val="006A0D8A"/>
    <w:rsid w:val="006A600D"/>
    <w:rsid w:val="006B0AF6"/>
    <w:rsid w:val="006B30A4"/>
    <w:rsid w:val="006B33CB"/>
    <w:rsid w:val="006C66EC"/>
    <w:rsid w:val="006D04C1"/>
    <w:rsid w:val="006D5127"/>
    <w:rsid w:val="006D7BBF"/>
    <w:rsid w:val="006E01DE"/>
    <w:rsid w:val="006E10F0"/>
    <w:rsid w:val="006E300C"/>
    <w:rsid w:val="006E59C9"/>
    <w:rsid w:val="006F1EC2"/>
    <w:rsid w:val="006F476E"/>
    <w:rsid w:val="006F6827"/>
    <w:rsid w:val="006F6C2C"/>
    <w:rsid w:val="00702487"/>
    <w:rsid w:val="0070483A"/>
    <w:rsid w:val="007100A7"/>
    <w:rsid w:val="00710870"/>
    <w:rsid w:val="00710DE6"/>
    <w:rsid w:val="007136FC"/>
    <w:rsid w:val="007155F4"/>
    <w:rsid w:val="00715FDA"/>
    <w:rsid w:val="00725F16"/>
    <w:rsid w:val="0073521A"/>
    <w:rsid w:val="0073723B"/>
    <w:rsid w:val="007374D1"/>
    <w:rsid w:val="00737D30"/>
    <w:rsid w:val="00741893"/>
    <w:rsid w:val="00755352"/>
    <w:rsid w:val="00757036"/>
    <w:rsid w:val="00757EB4"/>
    <w:rsid w:val="00760379"/>
    <w:rsid w:val="00760B5A"/>
    <w:rsid w:val="007618B9"/>
    <w:rsid w:val="00761A25"/>
    <w:rsid w:val="00762657"/>
    <w:rsid w:val="0077204C"/>
    <w:rsid w:val="007821E8"/>
    <w:rsid w:val="00783574"/>
    <w:rsid w:val="007864A7"/>
    <w:rsid w:val="00790ECF"/>
    <w:rsid w:val="007972E5"/>
    <w:rsid w:val="007A07DF"/>
    <w:rsid w:val="007A1809"/>
    <w:rsid w:val="007A2552"/>
    <w:rsid w:val="007A2FB0"/>
    <w:rsid w:val="007A3344"/>
    <w:rsid w:val="007A4542"/>
    <w:rsid w:val="007B009A"/>
    <w:rsid w:val="007B23A8"/>
    <w:rsid w:val="007C7EBC"/>
    <w:rsid w:val="007D71B5"/>
    <w:rsid w:val="007E1144"/>
    <w:rsid w:val="007E2082"/>
    <w:rsid w:val="007E270E"/>
    <w:rsid w:val="007E2B35"/>
    <w:rsid w:val="007F1FC1"/>
    <w:rsid w:val="007F20FE"/>
    <w:rsid w:val="007F3A69"/>
    <w:rsid w:val="007F5473"/>
    <w:rsid w:val="007F64AB"/>
    <w:rsid w:val="007F76FC"/>
    <w:rsid w:val="00802288"/>
    <w:rsid w:val="0080695D"/>
    <w:rsid w:val="00810E26"/>
    <w:rsid w:val="00823DDE"/>
    <w:rsid w:val="00830609"/>
    <w:rsid w:val="008313AB"/>
    <w:rsid w:val="00831F01"/>
    <w:rsid w:val="00835F75"/>
    <w:rsid w:val="00836C1D"/>
    <w:rsid w:val="00842330"/>
    <w:rsid w:val="0084429E"/>
    <w:rsid w:val="008444FA"/>
    <w:rsid w:val="00847E0F"/>
    <w:rsid w:val="00857259"/>
    <w:rsid w:val="008572F7"/>
    <w:rsid w:val="00862A53"/>
    <w:rsid w:val="00867423"/>
    <w:rsid w:val="00870FE2"/>
    <w:rsid w:val="00872A9F"/>
    <w:rsid w:val="00873DAF"/>
    <w:rsid w:val="008961BE"/>
    <w:rsid w:val="00896C4A"/>
    <w:rsid w:val="008A1A4E"/>
    <w:rsid w:val="008A3A07"/>
    <w:rsid w:val="008A3B39"/>
    <w:rsid w:val="008A42F9"/>
    <w:rsid w:val="008A4E98"/>
    <w:rsid w:val="008A5944"/>
    <w:rsid w:val="008B121A"/>
    <w:rsid w:val="008C2876"/>
    <w:rsid w:val="008C2F52"/>
    <w:rsid w:val="008C3531"/>
    <w:rsid w:val="008D0E1E"/>
    <w:rsid w:val="008D4395"/>
    <w:rsid w:val="008E07AE"/>
    <w:rsid w:val="008E2F34"/>
    <w:rsid w:val="008E31B4"/>
    <w:rsid w:val="008E3864"/>
    <w:rsid w:val="008E6389"/>
    <w:rsid w:val="008F6674"/>
    <w:rsid w:val="008F681B"/>
    <w:rsid w:val="00903865"/>
    <w:rsid w:val="00903CC0"/>
    <w:rsid w:val="00904548"/>
    <w:rsid w:val="0091717D"/>
    <w:rsid w:val="00920854"/>
    <w:rsid w:val="00921FFE"/>
    <w:rsid w:val="00922FF2"/>
    <w:rsid w:val="00940DDF"/>
    <w:rsid w:val="009451E7"/>
    <w:rsid w:val="00945CEB"/>
    <w:rsid w:val="0094791A"/>
    <w:rsid w:val="009522D4"/>
    <w:rsid w:val="0095372D"/>
    <w:rsid w:val="00962AE5"/>
    <w:rsid w:val="0097083F"/>
    <w:rsid w:val="00983072"/>
    <w:rsid w:val="00985210"/>
    <w:rsid w:val="00985A3A"/>
    <w:rsid w:val="009937F5"/>
    <w:rsid w:val="00993AD8"/>
    <w:rsid w:val="009975EC"/>
    <w:rsid w:val="009A3B37"/>
    <w:rsid w:val="009A41D8"/>
    <w:rsid w:val="009A5D44"/>
    <w:rsid w:val="009B16BA"/>
    <w:rsid w:val="009C0269"/>
    <w:rsid w:val="009C6BC2"/>
    <w:rsid w:val="009D75F7"/>
    <w:rsid w:val="009E048F"/>
    <w:rsid w:val="009F0CCC"/>
    <w:rsid w:val="009F11FA"/>
    <w:rsid w:val="009F61B3"/>
    <w:rsid w:val="009F61D1"/>
    <w:rsid w:val="00A003B6"/>
    <w:rsid w:val="00A004E1"/>
    <w:rsid w:val="00A052EA"/>
    <w:rsid w:val="00A05322"/>
    <w:rsid w:val="00A07A11"/>
    <w:rsid w:val="00A1493F"/>
    <w:rsid w:val="00A15125"/>
    <w:rsid w:val="00A15F0E"/>
    <w:rsid w:val="00A20FD5"/>
    <w:rsid w:val="00A2277B"/>
    <w:rsid w:val="00A27214"/>
    <w:rsid w:val="00A337DA"/>
    <w:rsid w:val="00A369C5"/>
    <w:rsid w:val="00A378DA"/>
    <w:rsid w:val="00A40622"/>
    <w:rsid w:val="00A40FD4"/>
    <w:rsid w:val="00A42437"/>
    <w:rsid w:val="00A456B0"/>
    <w:rsid w:val="00A51872"/>
    <w:rsid w:val="00A528E1"/>
    <w:rsid w:val="00A62A79"/>
    <w:rsid w:val="00A62B0F"/>
    <w:rsid w:val="00A63D37"/>
    <w:rsid w:val="00A713EF"/>
    <w:rsid w:val="00A71B22"/>
    <w:rsid w:val="00A73F43"/>
    <w:rsid w:val="00A7452D"/>
    <w:rsid w:val="00A74E6C"/>
    <w:rsid w:val="00A76B63"/>
    <w:rsid w:val="00A77BD1"/>
    <w:rsid w:val="00A82081"/>
    <w:rsid w:val="00A8568F"/>
    <w:rsid w:val="00A86F81"/>
    <w:rsid w:val="00A90F46"/>
    <w:rsid w:val="00A94EE3"/>
    <w:rsid w:val="00AA2F8B"/>
    <w:rsid w:val="00AA506C"/>
    <w:rsid w:val="00AB24DD"/>
    <w:rsid w:val="00AB25C6"/>
    <w:rsid w:val="00AC0BB8"/>
    <w:rsid w:val="00AD081C"/>
    <w:rsid w:val="00AD25AC"/>
    <w:rsid w:val="00AD6D86"/>
    <w:rsid w:val="00AD73DD"/>
    <w:rsid w:val="00AE06F3"/>
    <w:rsid w:val="00AE0D3E"/>
    <w:rsid w:val="00AE3A15"/>
    <w:rsid w:val="00AE3F17"/>
    <w:rsid w:val="00AE639B"/>
    <w:rsid w:val="00AE7BC1"/>
    <w:rsid w:val="00AF2BA5"/>
    <w:rsid w:val="00AF2C42"/>
    <w:rsid w:val="00AF2FF9"/>
    <w:rsid w:val="00AF43FB"/>
    <w:rsid w:val="00B10BA9"/>
    <w:rsid w:val="00B22201"/>
    <w:rsid w:val="00B247CD"/>
    <w:rsid w:val="00B337AC"/>
    <w:rsid w:val="00B34D96"/>
    <w:rsid w:val="00B3580C"/>
    <w:rsid w:val="00B40BA8"/>
    <w:rsid w:val="00B47BB6"/>
    <w:rsid w:val="00B52213"/>
    <w:rsid w:val="00B5417F"/>
    <w:rsid w:val="00B5459D"/>
    <w:rsid w:val="00B5548C"/>
    <w:rsid w:val="00B5552E"/>
    <w:rsid w:val="00B56DC2"/>
    <w:rsid w:val="00B67DBC"/>
    <w:rsid w:val="00B7673E"/>
    <w:rsid w:val="00B77856"/>
    <w:rsid w:val="00B8049A"/>
    <w:rsid w:val="00B852CE"/>
    <w:rsid w:val="00B85DC3"/>
    <w:rsid w:val="00B86B76"/>
    <w:rsid w:val="00B87F97"/>
    <w:rsid w:val="00B939CC"/>
    <w:rsid w:val="00B96F23"/>
    <w:rsid w:val="00BA44B5"/>
    <w:rsid w:val="00BB464D"/>
    <w:rsid w:val="00BB686B"/>
    <w:rsid w:val="00BC016B"/>
    <w:rsid w:val="00BC543D"/>
    <w:rsid w:val="00BC6388"/>
    <w:rsid w:val="00BC6C40"/>
    <w:rsid w:val="00BD1313"/>
    <w:rsid w:val="00BD5F00"/>
    <w:rsid w:val="00BD6A0F"/>
    <w:rsid w:val="00BE13B2"/>
    <w:rsid w:val="00BE5C9A"/>
    <w:rsid w:val="00BE7659"/>
    <w:rsid w:val="00BF0FA9"/>
    <w:rsid w:val="00BF1C5E"/>
    <w:rsid w:val="00BF28A3"/>
    <w:rsid w:val="00BF2B7E"/>
    <w:rsid w:val="00BF786C"/>
    <w:rsid w:val="00C0127F"/>
    <w:rsid w:val="00C03E37"/>
    <w:rsid w:val="00C0757C"/>
    <w:rsid w:val="00C07F6D"/>
    <w:rsid w:val="00C2042C"/>
    <w:rsid w:val="00C20CAE"/>
    <w:rsid w:val="00C20F40"/>
    <w:rsid w:val="00C22ED4"/>
    <w:rsid w:val="00C30490"/>
    <w:rsid w:val="00C30E63"/>
    <w:rsid w:val="00C328DB"/>
    <w:rsid w:val="00C332A5"/>
    <w:rsid w:val="00C371BE"/>
    <w:rsid w:val="00C37B0D"/>
    <w:rsid w:val="00C408C6"/>
    <w:rsid w:val="00C44D42"/>
    <w:rsid w:val="00C57591"/>
    <w:rsid w:val="00C67528"/>
    <w:rsid w:val="00C705A0"/>
    <w:rsid w:val="00C7181C"/>
    <w:rsid w:val="00C80411"/>
    <w:rsid w:val="00C80482"/>
    <w:rsid w:val="00C90C9B"/>
    <w:rsid w:val="00C9160D"/>
    <w:rsid w:val="00C93584"/>
    <w:rsid w:val="00C93F32"/>
    <w:rsid w:val="00C94241"/>
    <w:rsid w:val="00C96170"/>
    <w:rsid w:val="00CB1BC9"/>
    <w:rsid w:val="00CB2D0A"/>
    <w:rsid w:val="00CB34DE"/>
    <w:rsid w:val="00CC0722"/>
    <w:rsid w:val="00CC09FD"/>
    <w:rsid w:val="00CC22CB"/>
    <w:rsid w:val="00CC2742"/>
    <w:rsid w:val="00CC65A4"/>
    <w:rsid w:val="00CD036E"/>
    <w:rsid w:val="00CD1005"/>
    <w:rsid w:val="00CD149E"/>
    <w:rsid w:val="00CD3621"/>
    <w:rsid w:val="00CD61DC"/>
    <w:rsid w:val="00CE5835"/>
    <w:rsid w:val="00CF1D23"/>
    <w:rsid w:val="00CF21C9"/>
    <w:rsid w:val="00CF4DB8"/>
    <w:rsid w:val="00D04006"/>
    <w:rsid w:val="00D067AA"/>
    <w:rsid w:val="00D102C9"/>
    <w:rsid w:val="00D13840"/>
    <w:rsid w:val="00D14CE0"/>
    <w:rsid w:val="00D17788"/>
    <w:rsid w:val="00D17B54"/>
    <w:rsid w:val="00D20D19"/>
    <w:rsid w:val="00D224E5"/>
    <w:rsid w:val="00D22E73"/>
    <w:rsid w:val="00D25B05"/>
    <w:rsid w:val="00D30729"/>
    <w:rsid w:val="00D31524"/>
    <w:rsid w:val="00D32FFE"/>
    <w:rsid w:val="00D346B3"/>
    <w:rsid w:val="00D34D50"/>
    <w:rsid w:val="00D4005C"/>
    <w:rsid w:val="00D4399D"/>
    <w:rsid w:val="00D46410"/>
    <w:rsid w:val="00D46F7F"/>
    <w:rsid w:val="00D53D11"/>
    <w:rsid w:val="00D54D48"/>
    <w:rsid w:val="00D57D0E"/>
    <w:rsid w:val="00D57E4A"/>
    <w:rsid w:val="00D62EDD"/>
    <w:rsid w:val="00D70AC1"/>
    <w:rsid w:val="00D71DCD"/>
    <w:rsid w:val="00D72110"/>
    <w:rsid w:val="00D72459"/>
    <w:rsid w:val="00D72B11"/>
    <w:rsid w:val="00D743CE"/>
    <w:rsid w:val="00D75D2E"/>
    <w:rsid w:val="00D84D8F"/>
    <w:rsid w:val="00D86A89"/>
    <w:rsid w:val="00D87119"/>
    <w:rsid w:val="00D878AD"/>
    <w:rsid w:val="00D92133"/>
    <w:rsid w:val="00D9692C"/>
    <w:rsid w:val="00DA0103"/>
    <w:rsid w:val="00DA7056"/>
    <w:rsid w:val="00DB029F"/>
    <w:rsid w:val="00DB0376"/>
    <w:rsid w:val="00DB392D"/>
    <w:rsid w:val="00DB5377"/>
    <w:rsid w:val="00DC1453"/>
    <w:rsid w:val="00DC1DF6"/>
    <w:rsid w:val="00DC6AC3"/>
    <w:rsid w:val="00DE080F"/>
    <w:rsid w:val="00DE6344"/>
    <w:rsid w:val="00DF0DF1"/>
    <w:rsid w:val="00E013B8"/>
    <w:rsid w:val="00E05D56"/>
    <w:rsid w:val="00E06648"/>
    <w:rsid w:val="00E10B4E"/>
    <w:rsid w:val="00E14CDA"/>
    <w:rsid w:val="00E23C2C"/>
    <w:rsid w:val="00E25003"/>
    <w:rsid w:val="00E25012"/>
    <w:rsid w:val="00E26924"/>
    <w:rsid w:val="00E27B5E"/>
    <w:rsid w:val="00E32C53"/>
    <w:rsid w:val="00E34964"/>
    <w:rsid w:val="00E44D9B"/>
    <w:rsid w:val="00E51643"/>
    <w:rsid w:val="00E521C3"/>
    <w:rsid w:val="00E549F4"/>
    <w:rsid w:val="00E60242"/>
    <w:rsid w:val="00E625EC"/>
    <w:rsid w:val="00E6282E"/>
    <w:rsid w:val="00E63C3C"/>
    <w:rsid w:val="00E648A4"/>
    <w:rsid w:val="00E71F03"/>
    <w:rsid w:val="00E74F58"/>
    <w:rsid w:val="00E754B4"/>
    <w:rsid w:val="00E765E7"/>
    <w:rsid w:val="00E9477B"/>
    <w:rsid w:val="00E95024"/>
    <w:rsid w:val="00E95E74"/>
    <w:rsid w:val="00E97F8B"/>
    <w:rsid w:val="00EA042C"/>
    <w:rsid w:val="00EA3D0A"/>
    <w:rsid w:val="00EB1348"/>
    <w:rsid w:val="00EB2E18"/>
    <w:rsid w:val="00EB4BF7"/>
    <w:rsid w:val="00EB5D25"/>
    <w:rsid w:val="00EB7F23"/>
    <w:rsid w:val="00EC2759"/>
    <w:rsid w:val="00EC7039"/>
    <w:rsid w:val="00ED3928"/>
    <w:rsid w:val="00ED3ED8"/>
    <w:rsid w:val="00ED4F58"/>
    <w:rsid w:val="00ED5FA6"/>
    <w:rsid w:val="00EE3B99"/>
    <w:rsid w:val="00EF112E"/>
    <w:rsid w:val="00EF2652"/>
    <w:rsid w:val="00EF7E8F"/>
    <w:rsid w:val="00F00031"/>
    <w:rsid w:val="00F00D84"/>
    <w:rsid w:val="00F05F26"/>
    <w:rsid w:val="00F06E2A"/>
    <w:rsid w:val="00F0702D"/>
    <w:rsid w:val="00F22172"/>
    <w:rsid w:val="00F236BC"/>
    <w:rsid w:val="00F23825"/>
    <w:rsid w:val="00F27DFE"/>
    <w:rsid w:val="00F308B3"/>
    <w:rsid w:val="00F3299A"/>
    <w:rsid w:val="00F33030"/>
    <w:rsid w:val="00F35B19"/>
    <w:rsid w:val="00F36BFE"/>
    <w:rsid w:val="00F36F1D"/>
    <w:rsid w:val="00F379A8"/>
    <w:rsid w:val="00F407A4"/>
    <w:rsid w:val="00F422A1"/>
    <w:rsid w:val="00F4482A"/>
    <w:rsid w:val="00F536DA"/>
    <w:rsid w:val="00F53EC3"/>
    <w:rsid w:val="00F5596F"/>
    <w:rsid w:val="00F570E8"/>
    <w:rsid w:val="00F64CE2"/>
    <w:rsid w:val="00F667AE"/>
    <w:rsid w:val="00F7217A"/>
    <w:rsid w:val="00F73275"/>
    <w:rsid w:val="00F75184"/>
    <w:rsid w:val="00F80FC2"/>
    <w:rsid w:val="00F83B47"/>
    <w:rsid w:val="00F85491"/>
    <w:rsid w:val="00F91ECA"/>
    <w:rsid w:val="00F95894"/>
    <w:rsid w:val="00F95F3D"/>
    <w:rsid w:val="00FA4A52"/>
    <w:rsid w:val="00FA509E"/>
    <w:rsid w:val="00FA7675"/>
    <w:rsid w:val="00FA7FB7"/>
    <w:rsid w:val="00FB206D"/>
    <w:rsid w:val="00FB3A01"/>
    <w:rsid w:val="00FB3C15"/>
    <w:rsid w:val="00FB69ED"/>
    <w:rsid w:val="00FC0B9D"/>
    <w:rsid w:val="00FC6ADA"/>
    <w:rsid w:val="00FC7054"/>
    <w:rsid w:val="00FD3C60"/>
    <w:rsid w:val="00FE484A"/>
    <w:rsid w:val="00FE506C"/>
    <w:rsid w:val="00FE53C2"/>
    <w:rsid w:val="00FE728A"/>
    <w:rsid w:val="00FF663E"/>
    <w:rsid w:val="1132F256"/>
    <w:rsid w:val="2398DC89"/>
    <w:rsid w:val="26E291E9"/>
    <w:rsid w:val="3A3843FB"/>
    <w:rsid w:val="3D6FE4BD"/>
    <w:rsid w:val="4C64E5DC"/>
    <w:rsid w:val="58B78057"/>
    <w:rsid w:val="68E510B8"/>
    <w:rsid w:val="785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38405438-A6EA-470D-81A4-D4042199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normaltextrun">
    <w:name w:val="normaltextrun"/>
    <w:basedOn w:val="DefaultParagraphFont"/>
    <w:rsid w:val="00650E08"/>
  </w:style>
  <w:style w:type="paragraph" w:styleId="BalloonText">
    <w:name w:val="Balloon Text"/>
    <w:basedOn w:val="Normal"/>
    <w:link w:val="BalloonTextChar"/>
    <w:uiPriority w:val="99"/>
    <w:semiHidden/>
    <w:unhideWhenUsed/>
    <w:rsid w:val="000826B5"/>
    <w:pPr>
      <w:widowControl/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autoSpaceDE/>
      <w:autoSpaceDN/>
      <w:spacing w:before="0" w:after="0" w:line="240" w:lineRule="auto"/>
      <w:ind w:left="303" w:right="0" w:hanging="10"/>
    </w:pPr>
    <w:rPr>
      <w:rFonts w:ascii="Segoe UI" w:eastAsia="Times New Roman" w:hAnsi="Segoe UI" w:cs="Segoe UI"/>
      <w:color w:val="000000"/>
      <w:sz w:val="18"/>
      <w:szCs w:val="18"/>
      <w:lang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B5"/>
    <w:rPr>
      <w:rFonts w:ascii="Segoe UI" w:eastAsia="Times New Roman" w:hAnsi="Segoe UI" w:cs="Segoe UI"/>
      <w:color w:val="000000"/>
      <w:kern w:val="0"/>
      <w:sz w:val="18"/>
      <w:szCs w:val="18"/>
      <w:lang w:eastAsia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7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45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5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10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F00"/>
    <w:rPr>
      <w:color w:val="605E5C"/>
      <w:shd w:val="clear" w:color="auto" w:fill="E1DFDD"/>
    </w:rPr>
  </w:style>
  <w:style w:type="paragraph" w:customStyle="1" w:styleId="richtexteditorblock2vsd">
    <w:name w:val="richtexteditor__block___2vs_d"/>
    <w:basedOn w:val="Normal"/>
    <w:rsid w:val="00B56DC2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7A2FB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0AFA"/>
    <w:pPr>
      <w:spacing w:before="0" w:after="0" w:line="240" w:lineRule="auto"/>
      <w:ind w:left="0" w:right="0"/>
    </w:pPr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0DD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CDD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496846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cf01">
    <w:name w:val="cf01"/>
    <w:basedOn w:val="DefaultParagraphFont"/>
    <w:rsid w:val="000352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47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5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6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6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2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3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55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zcle.org.nz/Docs/Prof_Exam_in_Law_Regs_2008.pdf" TargetMode="External"/><Relationship Id="rId18" Type="http://schemas.openxmlformats.org/officeDocument/2006/relationships/hyperlink" Target="https://www.nzqa.govt.nz/framework/updates/summaries.do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regulation/public/2008/0214/latest/whole.html" TargetMode="External"/><Relationship Id="rId17" Type="http://schemas.openxmlformats.org/officeDocument/2006/relationships/hyperlink" Target="https://ringahora.nz/qualifications-and-assurance/programme-endorsement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nzcle.org.nz/Docs/PLSC_Regulations_consolidated.pdf" TargetMode="External"/><Relationship Id="rId20" Type="http://schemas.openxmlformats.org/officeDocument/2006/relationships/hyperlink" Target="mailto:Qualifications@ringahora.n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/act/public/2006/0001/latest/DLM364939.html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nzcle.org.nz/Docs/PLSC_Accreditation_Regulations_2006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ringahora.n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zcle.org.nz/Docs/Course_Assess_Stand_Regs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6" ma:contentTypeDescription="Create a new document." ma:contentTypeScope="" ma:versionID="1765f0ca640da9a896506e67a0473c7b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c2f5a24ce9d2f3340613b681c2267cf5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77339AEB-860C-4062-92D3-E6BB2C118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F5CA6-9AB9-42F4-854C-361EBAD06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FC538D-A3F5-4EF5-8453-86746786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9647A-15BE-4FCE-8369-BA56D6BE5C9D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2</cp:revision>
  <dcterms:created xsi:type="dcterms:W3CDTF">2023-11-17T01:36:00Z</dcterms:created>
  <dcterms:modified xsi:type="dcterms:W3CDTF">2023-11-17T01:36:00Z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